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89" w:rsidRDefault="00F94326">
      <w:pPr>
        <w:spacing w:before="58" w:line="219" w:lineRule="auto"/>
        <w:rPr>
          <w:rFonts w:ascii="Times New Roman" w:eastAsia="黑体" w:hAnsi="Times New Roman" w:cs="Times New Roman"/>
          <w:spacing w:val="-16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eastAsia="黑体" w:hAnsi="Times New Roman" w:cs="Times New Roman"/>
          <w:spacing w:val="-16"/>
          <w:sz w:val="32"/>
          <w:szCs w:val="32"/>
          <w:lang w:eastAsia="zh-CN"/>
        </w:rPr>
        <w:t>附表</w:t>
      </w:r>
      <w:r>
        <w:rPr>
          <w:rFonts w:ascii="Times New Roman" w:eastAsia="黑体" w:hAnsi="Times New Roman" w:cs="Times New Roman"/>
          <w:spacing w:val="-16"/>
          <w:sz w:val="32"/>
          <w:szCs w:val="32"/>
          <w:lang w:eastAsia="zh-CN"/>
        </w:rPr>
        <w:t>1</w:t>
      </w:r>
    </w:p>
    <w:p w:rsidR="00924089" w:rsidRDefault="00F94326">
      <w:pPr>
        <w:spacing w:before="58" w:line="219" w:lineRule="auto"/>
        <w:ind w:left="881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pacing w:val="-16"/>
          <w:sz w:val="44"/>
          <w:szCs w:val="44"/>
          <w:lang w:eastAsia="zh-CN"/>
        </w:rPr>
        <w:t>中央生态环境保护督察整改情况公示表</w:t>
      </w:r>
    </w:p>
    <w:p w:rsidR="00924089" w:rsidRDefault="00924089">
      <w:pPr>
        <w:spacing w:before="147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92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258"/>
        <w:gridCol w:w="6042"/>
      </w:tblGrid>
      <w:tr w:rsidR="00924089">
        <w:trPr>
          <w:trHeight w:val="510"/>
        </w:trPr>
        <w:tc>
          <w:tcPr>
            <w:tcW w:w="1963" w:type="dxa"/>
            <w:vMerge w:val="restart"/>
            <w:tcBorders>
              <w:bottom w:val="nil"/>
            </w:tcBorders>
          </w:tcPr>
          <w:p w:rsidR="00924089" w:rsidRDefault="00924089">
            <w:pPr>
              <w:spacing w:line="313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313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2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整改任务</w:t>
            </w:r>
            <w:proofErr w:type="spellEnd"/>
          </w:p>
        </w:tc>
        <w:tc>
          <w:tcPr>
            <w:tcW w:w="1258" w:type="dxa"/>
          </w:tcPr>
          <w:p w:rsidR="00924089" w:rsidRDefault="00F94326">
            <w:pPr>
              <w:pStyle w:val="TableText"/>
              <w:spacing w:before="141" w:line="219" w:lineRule="auto"/>
              <w:ind w:left="125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任务编号</w:t>
            </w:r>
            <w:proofErr w:type="spellEnd"/>
          </w:p>
        </w:tc>
        <w:tc>
          <w:tcPr>
            <w:tcW w:w="6042" w:type="dxa"/>
          </w:tcPr>
          <w:p w:rsidR="00924089" w:rsidRDefault="00F94326">
            <w:pPr>
              <w:pStyle w:val="TableText"/>
              <w:spacing w:before="132" w:line="213" w:lineRule="auto"/>
              <w:ind w:left="67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第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二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轮中央生态环境保护督察反馈问题第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val="en" w:eastAsia="zh-CN"/>
              </w:rPr>
              <w:t>十八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项整改任务</w:t>
            </w:r>
          </w:p>
        </w:tc>
      </w:tr>
      <w:tr w:rsidR="00924089">
        <w:trPr>
          <w:trHeight w:val="1129"/>
        </w:trPr>
        <w:tc>
          <w:tcPr>
            <w:tcW w:w="1963" w:type="dxa"/>
            <w:vMerge/>
            <w:tcBorders>
              <w:top w:val="nil"/>
            </w:tcBorders>
          </w:tcPr>
          <w:p w:rsidR="00924089" w:rsidRDefault="00924089">
            <w:pPr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</w:tcPr>
          <w:p w:rsidR="00924089" w:rsidRDefault="00924089">
            <w:pPr>
              <w:spacing w:line="356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1" w:line="221" w:lineRule="auto"/>
              <w:ind w:left="125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2"/>
                <w:sz w:val="24"/>
                <w:szCs w:val="24"/>
              </w:rPr>
              <w:t>问题描述</w:t>
            </w:r>
            <w:proofErr w:type="spellEnd"/>
          </w:p>
        </w:tc>
        <w:tc>
          <w:tcPr>
            <w:tcW w:w="6042" w:type="dxa"/>
          </w:tcPr>
          <w:p w:rsidR="00924089" w:rsidRDefault="00F94326" w:rsidP="00555958">
            <w:pPr>
              <w:pStyle w:val="TableText"/>
              <w:spacing w:beforeLines="50" w:before="120" w:line="224" w:lineRule="auto"/>
              <w:ind w:right="34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天津市水污染治理设施短板迟迟未能补齐，特别是城乡统筹不够，农村地区设施配套不全、运行效果不好，部分地区农村河道坑塘水质较差，影响了碧水保卫战成效。</w:t>
            </w:r>
          </w:p>
        </w:tc>
      </w:tr>
      <w:tr w:rsidR="00924089">
        <w:trPr>
          <w:trHeight w:val="499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127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2"/>
                <w:sz w:val="24"/>
                <w:szCs w:val="24"/>
              </w:rPr>
              <w:t>责任单位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11" w:line="219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市水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局、市农业农村委等相关单位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相关区区委、区政府</w:t>
            </w:r>
          </w:p>
        </w:tc>
      </w:tr>
      <w:tr w:rsidR="00924089">
        <w:trPr>
          <w:trHeight w:val="709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228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整改目标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120" w:line="219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基本补齐城镇污水处理设施短板、实现城乡统筹，提升农村污水处理站运行效果。</w:t>
            </w:r>
          </w:p>
        </w:tc>
      </w:tr>
      <w:tr w:rsidR="00924089">
        <w:trPr>
          <w:trHeight w:val="938"/>
        </w:trPr>
        <w:tc>
          <w:tcPr>
            <w:tcW w:w="1963" w:type="dxa"/>
          </w:tcPr>
          <w:p w:rsidR="00924089" w:rsidRDefault="00924089">
            <w:pPr>
              <w:spacing w:line="246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1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整改措施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82" w:line="223" w:lineRule="auto"/>
              <w:ind w:right="3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修订完善排水专项规划</w:t>
            </w: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加快补齐城镇污水处理设施短板；加快农村生活污水处理设施建设及验收工作；建立完善运行监管长效机制</w:t>
            </w:r>
          </w:p>
        </w:tc>
      </w:tr>
      <w:tr w:rsidR="00924089">
        <w:trPr>
          <w:trHeight w:val="5016"/>
        </w:trPr>
        <w:tc>
          <w:tcPr>
            <w:tcW w:w="1963" w:type="dxa"/>
          </w:tcPr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1" w:line="225" w:lineRule="auto"/>
              <w:ind w:left="597" w:right="214" w:hanging="369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2"/>
                <w:sz w:val="24"/>
                <w:szCs w:val="24"/>
              </w:rPr>
              <w:t>整改主要工作</w:t>
            </w:r>
            <w:proofErr w:type="spellEnd"/>
            <w:r>
              <w:rPr>
                <w:rFonts w:ascii="Times New Roman" w:eastAsia="黑体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及成效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81" w:line="230" w:lineRule="auto"/>
              <w:ind w:right="6"/>
              <w:jc w:val="both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修订完善天津市排水专项规划（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2020—2035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），各区编制完成本区排水专项规划，指导全市尽快补齐污水处理设施短板。实施张贵庄二期、津沽三期、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蓟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州城区、宁河城区等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座污水处理厂新扩建工程，均已通水。市农业农村委组织完成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2020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年农村生活污水处理设施市级验收。开展城镇污水处理厂集中检查，对发现的问题及时督促各区完成整改，并将城镇污水处理厂、农村污水处理站运行情况纳入河湖长制年度考核内容，对污水处理情况按月进行调度并通报。市农业农村委会、市水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局等单位分别按照职责牵头组织修订完成《天津市农村生活污水处理设施运行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维护管理办法》、《天津市农村污水处理设施运行维护依效付费评价细则》、《城镇污水处理行业管理考核工作标准》等文件，完善运行维护长效机制。基本补齐城镇污水处理设施短板，农村污水处理站运行效果显著提升。</w:t>
            </w:r>
          </w:p>
        </w:tc>
      </w:tr>
      <w:tr w:rsidR="00924089">
        <w:trPr>
          <w:trHeight w:val="430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95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整改时限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99" w:line="219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zCs w:val="32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zCs w:val="32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zCs w:val="32"/>
                <w:lang w:eastAsia="zh-CN"/>
              </w:rPr>
              <w:t>月</w:t>
            </w:r>
          </w:p>
        </w:tc>
      </w:tr>
      <w:tr w:rsidR="00924089">
        <w:trPr>
          <w:trHeight w:val="90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123" w:line="227" w:lineRule="auto"/>
              <w:ind w:left="597" w:right="116" w:hanging="499"/>
              <w:jc w:val="center"/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pacing w:val="-5"/>
                <w:sz w:val="24"/>
                <w:szCs w:val="24"/>
                <w:lang w:eastAsia="zh-CN"/>
              </w:rPr>
              <w:t>验收销号意见</w:t>
            </w:r>
          </w:p>
        </w:tc>
        <w:tc>
          <w:tcPr>
            <w:tcW w:w="7300" w:type="dxa"/>
            <w:gridSpan w:val="2"/>
            <w:vAlign w:val="center"/>
          </w:tcPr>
          <w:p w:rsidR="00924089" w:rsidRDefault="00F94326">
            <w:pPr>
              <w:pStyle w:val="TableText"/>
              <w:spacing w:before="285" w:line="216" w:lineRule="auto"/>
              <w:ind w:left="2022"/>
              <w:jc w:val="both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Nimbus Roman No9 L" w:eastAsia="仿宋_GB2312" w:hAnsi="Nimbus Roman No9 L" w:cs="Nimbus Roman No9 L"/>
                <w:sz w:val="24"/>
                <w:szCs w:val="24"/>
                <w:lang w:eastAsia="zh-CN"/>
              </w:rPr>
              <w:t>整改合格，同意验收销号</w:t>
            </w:r>
            <w:r>
              <w:rPr>
                <w:rFonts w:ascii="Nimbus Roman No9 L" w:eastAsia="仿宋_GB2312" w:hAnsi="Nimbus Roman No9 L" w:cs="Nimbus Roman No9 L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924089">
        <w:trPr>
          <w:trHeight w:val="814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123" w:line="227" w:lineRule="auto"/>
              <w:ind w:left="597" w:right="116" w:hanging="499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  <w:lang w:eastAsia="zh-CN"/>
              </w:rPr>
              <w:t>社会监督联系人</w:t>
            </w:r>
            <w:r>
              <w:rPr>
                <w:rFonts w:ascii="Times New Roman" w:eastAsia="黑体" w:hAnsi="Times New Roman" w:cs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285" w:line="216" w:lineRule="auto"/>
              <w:ind w:left="2022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联系人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回永</w:t>
            </w:r>
            <w:proofErr w:type="gram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倩</w:t>
            </w:r>
            <w:proofErr w:type="gramEnd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电话：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23333626</w:t>
            </w:r>
          </w:p>
        </w:tc>
      </w:tr>
    </w:tbl>
    <w:p w:rsidR="00924089" w:rsidRDefault="00924089">
      <w:pPr>
        <w:spacing w:before="1"/>
        <w:rPr>
          <w:rFonts w:ascii="Times New Roman" w:hAnsi="Times New Roman" w:cs="Times New Roman"/>
          <w:lang w:eastAsia="zh-CN"/>
        </w:rPr>
      </w:pPr>
    </w:p>
    <w:p w:rsidR="00924089" w:rsidRDefault="00924089">
      <w:pPr>
        <w:spacing w:before="1"/>
        <w:rPr>
          <w:rFonts w:ascii="Times New Roman" w:hAnsi="Times New Roman" w:cs="Times New Roman"/>
          <w:lang w:eastAsia="zh-CN"/>
        </w:rPr>
      </w:pPr>
    </w:p>
    <w:p w:rsidR="00924089" w:rsidRDefault="00924089">
      <w:pPr>
        <w:spacing w:before="1"/>
        <w:rPr>
          <w:rFonts w:ascii="Times New Roman" w:hAnsi="Times New Roman" w:cs="Times New Roman"/>
          <w:lang w:eastAsia="zh-CN"/>
        </w:rPr>
      </w:pPr>
    </w:p>
    <w:p w:rsidR="00924089" w:rsidRDefault="00924089">
      <w:pPr>
        <w:spacing w:before="1"/>
        <w:rPr>
          <w:rFonts w:ascii="Times New Roman" w:hAnsi="Times New Roman" w:cs="Times New Roman"/>
          <w:lang w:eastAsia="zh-CN"/>
        </w:rPr>
      </w:pPr>
    </w:p>
    <w:p w:rsidR="00924089" w:rsidRDefault="00924089">
      <w:pPr>
        <w:spacing w:before="1"/>
        <w:rPr>
          <w:rFonts w:ascii="Times New Roman" w:hAnsi="Times New Roman" w:cs="Times New Roman"/>
          <w:lang w:eastAsia="zh-CN"/>
        </w:rPr>
      </w:pPr>
    </w:p>
    <w:p w:rsidR="00924089" w:rsidRDefault="00F94326">
      <w:pPr>
        <w:spacing w:before="58" w:line="219" w:lineRule="auto"/>
        <w:rPr>
          <w:rFonts w:ascii="Times New Roman" w:eastAsia="方正小标宋简体" w:hAnsi="Times New Roman" w:cs="Times New Roman"/>
          <w:spacing w:val="-16"/>
          <w:sz w:val="32"/>
          <w:szCs w:val="32"/>
          <w:lang w:eastAsia="zh-CN"/>
        </w:rPr>
      </w:pPr>
      <w:r>
        <w:rPr>
          <w:rFonts w:ascii="Times New Roman" w:eastAsia="方正小标宋简体" w:hAnsi="Times New Roman" w:cs="Times New Roman"/>
          <w:spacing w:val="-16"/>
          <w:sz w:val="32"/>
          <w:szCs w:val="32"/>
          <w:lang w:eastAsia="zh-CN"/>
        </w:rPr>
        <w:lastRenderedPageBreak/>
        <w:t>附表</w:t>
      </w:r>
      <w:r>
        <w:rPr>
          <w:rFonts w:ascii="Times New Roman" w:eastAsia="方正小标宋简体" w:hAnsi="Times New Roman" w:cs="Times New Roman"/>
          <w:spacing w:val="-16"/>
          <w:sz w:val="32"/>
          <w:szCs w:val="32"/>
          <w:lang w:eastAsia="zh-CN"/>
        </w:rPr>
        <w:t>2</w:t>
      </w:r>
    </w:p>
    <w:p w:rsidR="00924089" w:rsidRDefault="00F94326">
      <w:pPr>
        <w:spacing w:before="58" w:line="219" w:lineRule="auto"/>
        <w:ind w:left="881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pacing w:val="-16"/>
          <w:sz w:val="44"/>
          <w:szCs w:val="44"/>
          <w:lang w:eastAsia="zh-CN"/>
        </w:rPr>
        <w:t>中央生态环境保护督察整改情况公示表</w:t>
      </w:r>
    </w:p>
    <w:p w:rsidR="00924089" w:rsidRDefault="00924089">
      <w:pPr>
        <w:spacing w:before="147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92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258"/>
        <w:gridCol w:w="6042"/>
      </w:tblGrid>
      <w:tr w:rsidR="00924089">
        <w:trPr>
          <w:trHeight w:val="510"/>
        </w:trPr>
        <w:tc>
          <w:tcPr>
            <w:tcW w:w="1963" w:type="dxa"/>
            <w:vMerge w:val="restart"/>
            <w:tcBorders>
              <w:bottom w:val="nil"/>
            </w:tcBorders>
          </w:tcPr>
          <w:p w:rsidR="00924089" w:rsidRDefault="00924089">
            <w:pPr>
              <w:spacing w:line="313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313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2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整改任务</w:t>
            </w:r>
            <w:proofErr w:type="spellEnd"/>
          </w:p>
        </w:tc>
        <w:tc>
          <w:tcPr>
            <w:tcW w:w="1258" w:type="dxa"/>
          </w:tcPr>
          <w:p w:rsidR="00924089" w:rsidRDefault="00F94326">
            <w:pPr>
              <w:pStyle w:val="TableText"/>
              <w:spacing w:before="141" w:line="219" w:lineRule="auto"/>
              <w:ind w:left="125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任务编号</w:t>
            </w:r>
            <w:proofErr w:type="spellEnd"/>
          </w:p>
        </w:tc>
        <w:tc>
          <w:tcPr>
            <w:tcW w:w="6042" w:type="dxa"/>
          </w:tcPr>
          <w:p w:rsidR="00924089" w:rsidRDefault="00F94326">
            <w:pPr>
              <w:pStyle w:val="TableText"/>
              <w:spacing w:before="132" w:line="213" w:lineRule="auto"/>
              <w:ind w:left="67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第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二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轮中央生态环境保护督察反馈问题第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十九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项整改任务</w:t>
            </w:r>
          </w:p>
        </w:tc>
      </w:tr>
      <w:tr w:rsidR="00924089">
        <w:trPr>
          <w:trHeight w:val="1129"/>
        </w:trPr>
        <w:tc>
          <w:tcPr>
            <w:tcW w:w="1963" w:type="dxa"/>
            <w:vMerge/>
            <w:tcBorders>
              <w:top w:val="nil"/>
            </w:tcBorders>
          </w:tcPr>
          <w:p w:rsidR="00924089" w:rsidRDefault="00924089">
            <w:pPr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</w:tcPr>
          <w:p w:rsidR="00924089" w:rsidRDefault="00924089">
            <w:pPr>
              <w:spacing w:line="356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1" w:line="221" w:lineRule="auto"/>
              <w:ind w:left="125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2"/>
                <w:sz w:val="24"/>
                <w:szCs w:val="24"/>
              </w:rPr>
              <w:t>问题描述</w:t>
            </w:r>
            <w:proofErr w:type="spellEnd"/>
          </w:p>
        </w:tc>
        <w:tc>
          <w:tcPr>
            <w:tcW w:w="6042" w:type="dxa"/>
          </w:tcPr>
          <w:p w:rsidR="00924089" w:rsidRDefault="00F94326">
            <w:pPr>
              <w:pStyle w:val="TableText"/>
              <w:spacing w:line="224" w:lineRule="auto"/>
              <w:ind w:left="62" w:right="34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城市污水管网建设滞后。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静海区团泊新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城西区污水处理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厂规划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建设配套管网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72.3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公里，实际仅建成约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公里，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因运行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负荷过低，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2017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年被纳入《天津市闲置及低运行负荷率污水厂专项整改方案》，但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2017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年至今仅新建管网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2.05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公里。污水收集能力不足问题在城乡结合部，以及远郊区更为突出，武清区、滨海新区、宝坻区、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蓟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州区、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静海区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等远郊区生活污水收集率分别为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39%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35%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23%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19%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12%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，大量污水直排环境。</w:t>
            </w:r>
          </w:p>
        </w:tc>
      </w:tr>
      <w:tr w:rsidR="00924089">
        <w:trPr>
          <w:trHeight w:val="499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127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2"/>
                <w:sz w:val="24"/>
                <w:szCs w:val="24"/>
              </w:rPr>
              <w:t>责任单位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131" w:line="219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市水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武清区、滨海新区、宝坻区、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蓟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州区、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静海区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等相关区区委、区政府</w:t>
            </w:r>
          </w:p>
        </w:tc>
      </w:tr>
      <w:tr w:rsidR="00924089">
        <w:trPr>
          <w:trHeight w:val="709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228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整改目标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 w:rsidP="00555958">
            <w:pPr>
              <w:pStyle w:val="TableText"/>
              <w:spacing w:beforeLines="50" w:before="120" w:line="219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完善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静海区团泊新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城西区污水处理厂污水配套管网，运行负荷率达到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60%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；提高滨海新区、武清区等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区生活污水收集率，基本消除污水直排。</w:t>
            </w:r>
          </w:p>
        </w:tc>
      </w:tr>
      <w:tr w:rsidR="00924089">
        <w:trPr>
          <w:trHeight w:val="1048"/>
        </w:trPr>
        <w:tc>
          <w:tcPr>
            <w:tcW w:w="1963" w:type="dxa"/>
          </w:tcPr>
          <w:p w:rsidR="00924089" w:rsidRDefault="00924089">
            <w:pPr>
              <w:spacing w:line="245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46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1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整改措施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82" w:line="223" w:lineRule="auto"/>
              <w:ind w:right="3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重点提升</w:t>
            </w:r>
            <w:proofErr w:type="gramStart"/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静海区</w:t>
            </w:r>
            <w:proofErr w:type="gramEnd"/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污水配套管网建设水平</w:t>
            </w: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制定污水收集专项整改方案</w:t>
            </w: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开展武清区、滨海新区、宝坻区、</w:t>
            </w:r>
            <w:proofErr w:type="gramStart"/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蓟</w:t>
            </w:r>
            <w:proofErr w:type="gramEnd"/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州区、</w:t>
            </w:r>
            <w:proofErr w:type="gramStart"/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静海区</w:t>
            </w:r>
            <w:proofErr w:type="gramEnd"/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城市用水人口底数与污水厂收水范围核定工作；建立长效工作机制</w:t>
            </w:r>
          </w:p>
        </w:tc>
      </w:tr>
      <w:tr w:rsidR="00924089">
        <w:trPr>
          <w:trHeight w:val="90"/>
        </w:trPr>
        <w:tc>
          <w:tcPr>
            <w:tcW w:w="1963" w:type="dxa"/>
          </w:tcPr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1" w:line="225" w:lineRule="auto"/>
              <w:ind w:left="597" w:right="214" w:hanging="369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2"/>
                <w:sz w:val="24"/>
                <w:szCs w:val="24"/>
              </w:rPr>
              <w:t>整改主要工作</w:t>
            </w:r>
            <w:proofErr w:type="spellEnd"/>
            <w:r>
              <w:rPr>
                <w:rFonts w:ascii="Times New Roman" w:eastAsia="黑体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及成效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81" w:line="230" w:lineRule="auto"/>
              <w:ind w:right="6"/>
              <w:jc w:val="both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静海区编制完成团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泊西区专项整改方案，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2021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2022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年团泊西区每年与开发建设进度同步完成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公里配套管网建设，区域内生活污水有效收集，团泊新城污水厂运行负荷率达到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60%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以上。武清区、滨海新区、宝坻区、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蓟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州区、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静海区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针对生活污水收集率偏低问题启动系统排查，编制完成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一区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策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专项整改方案，通过新增污水处理设施、完善排水管网、减少外水进入等措施，各区城市生活污水收集率均有显著提升。市水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局统计完成城市范围内人口底数，各区根据住建部城市统计人口基数进行污水厂收水范围核定，基本实现污水厂收水范围与统计人口一致。印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发落实《天津市城镇排水管渠周期性检测、评估与养护技术导则》，加强管网巡视检查维护，混接、错接、漏损等问题及时发现，及时解决。持续推进违规排水和乱泼乱倒专项整治工作，并将各区开展乱泼乱倒整治情况纳入河长制年度任务考核。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静海区团泊新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城西区污水处理厂完成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公里污水配套管网，运行负荷率达到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60%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以上；滨海新区、武清区等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区城市生活污水集中收集率较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2019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年均有显著提升，各区城市建成区基本消除污水直排。</w:t>
            </w:r>
          </w:p>
        </w:tc>
      </w:tr>
      <w:tr w:rsidR="00924089">
        <w:trPr>
          <w:trHeight w:val="430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95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整改时限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99" w:line="219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zCs w:val="32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zCs w:val="32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zCs w:val="32"/>
                <w:lang w:eastAsia="zh-CN"/>
              </w:rPr>
              <w:t>月</w:t>
            </w:r>
          </w:p>
        </w:tc>
      </w:tr>
      <w:tr w:rsidR="00924089">
        <w:trPr>
          <w:trHeight w:val="509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123" w:line="227" w:lineRule="auto"/>
              <w:ind w:left="597" w:right="116" w:hanging="499"/>
              <w:jc w:val="center"/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pacing w:val="-5"/>
                <w:sz w:val="24"/>
                <w:szCs w:val="24"/>
                <w:lang w:eastAsia="zh-CN"/>
              </w:rPr>
              <w:t>验收销号意见</w:t>
            </w:r>
          </w:p>
        </w:tc>
        <w:tc>
          <w:tcPr>
            <w:tcW w:w="7300" w:type="dxa"/>
            <w:gridSpan w:val="2"/>
            <w:vAlign w:val="center"/>
          </w:tcPr>
          <w:p w:rsidR="00924089" w:rsidRDefault="00F94326">
            <w:pPr>
              <w:pStyle w:val="TableText"/>
              <w:spacing w:before="285" w:line="216" w:lineRule="auto"/>
              <w:ind w:left="2022"/>
              <w:jc w:val="both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Nimbus Roman No9 L" w:eastAsia="仿宋_GB2312" w:hAnsi="Nimbus Roman No9 L" w:cs="Nimbus Roman No9 L"/>
                <w:sz w:val="24"/>
                <w:szCs w:val="24"/>
                <w:lang w:eastAsia="zh-CN"/>
              </w:rPr>
              <w:t>整改合格，同意验收销号</w:t>
            </w:r>
            <w:r>
              <w:rPr>
                <w:rFonts w:ascii="Nimbus Roman No9 L" w:eastAsia="仿宋_GB2312" w:hAnsi="Nimbus Roman No9 L" w:cs="Nimbus Roman No9 L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924089">
        <w:trPr>
          <w:trHeight w:val="814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123" w:line="227" w:lineRule="auto"/>
              <w:ind w:left="597" w:right="116" w:hanging="499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  <w:lang w:eastAsia="zh-CN"/>
              </w:rPr>
              <w:t>社会监督联系人</w:t>
            </w:r>
            <w:r>
              <w:rPr>
                <w:rFonts w:ascii="Times New Roman" w:eastAsia="黑体" w:hAnsi="Times New Roman" w:cs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285" w:line="216" w:lineRule="auto"/>
              <w:ind w:left="2022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联系人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回永</w:t>
            </w:r>
            <w:proofErr w:type="gram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倩</w:t>
            </w:r>
            <w:proofErr w:type="gramEnd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电话：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23333626</w:t>
            </w:r>
          </w:p>
        </w:tc>
      </w:tr>
    </w:tbl>
    <w:p w:rsidR="00924089" w:rsidRDefault="00F94326">
      <w:pPr>
        <w:spacing w:before="1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lastRenderedPageBreak/>
        <w:t>附表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3</w:t>
      </w:r>
    </w:p>
    <w:p w:rsidR="00924089" w:rsidRDefault="00F94326">
      <w:pPr>
        <w:spacing w:before="58" w:line="219" w:lineRule="auto"/>
        <w:ind w:left="881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pacing w:val="-16"/>
          <w:sz w:val="44"/>
          <w:szCs w:val="44"/>
          <w:lang w:eastAsia="zh-CN"/>
        </w:rPr>
        <w:t>中央生态环境保护督察整改情况公示表</w:t>
      </w:r>
    </w:p>
    <w:p w:rsidR="00924089" w:rsidRDefault="00924089">
      <w:pPr>
        <w:spacing w:before="147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92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258"/>
        <w:gridCol w:w="6042"/>
      </w:tblGrid>
      <w:tr w:rsidR="00924089">
        <w:trPr>
          <w:trHeight w:val="510"/>
        </w:trPr>
        <w:tc>
          <w:tcPr>
            <w:tcW w:w="1963" w:type="dxa"/>
            <w:vMerge w:val="restart"/>
            <w:tcBorders>
              <w:bottom w:val="nil"/>
            </w:tcBorders>
          </w:tcPr>
          <w:p w:rsidR="00924089" w:rsidRDefault="00924089">
            <w:pPr>
              <w:spacing w:line="313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313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2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整改任务</w:t>
            </w:r>
            <w:proofErr w:type="spellEnd"/>
          </w:p>
        </w:tc>
        <w:tc>
          <w:tcPr>
            <w:tcW w:w="1258" w:type="dxa"/>
          </w:tcPr>
          <w:p w:rsidR="00924089" w:rsidRDefault="00F94326">
            <w:pPr>
              <w:pStyle w:val="TableText"/>
              <w:spacing w:before="141" w:line="219" w:lineRule="auto"/>
              <w:ind w:left="125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任务编号</w:t>
            </w:r>
            <w:proofErr w:type="spellEnd"/>
          </w:p>
        </w:tc>
        <w:tc>
          <w:tcPr>
            <w:tcW w:w="6042" w:type="dxa"/>
          </w:tcPr>
          <w:p w:rsidR="00924089" w:rsidRDefault="00F94326">
            <w:pPr>
              <w:pStyle w:val="TableText"/>
              <w:spacing w:before="132" w:line="213" w:lineRule="auto"/>
              <w:ind w:left="67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第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二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轮中央生态环境保护督察反馈问题第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val="en" w:eastAsia="zh-CN"/>
              </w:rPr>
              <w:t>二十二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项整改任务</w:t>
            </w:r>
          </w:p>
        </w:tc>
      </w:tr>
      <w:tr w:rsidR="00924089">
        <w:trPr>
          <w:trHeight w:val="2860"/>
        </w:trPr>
        <w:tc>
          <w:tcPr>
            <w:tcW w:w="1963" w:type="dxa"/>
            <w:vMerge/>
            <w:tcBorders>
              <w:top w:val="nil"/>
            </w:tcBorders>
          </w:tcPr>
          <w:p w:rsidR="00924089" w:rsidRDefault="00924089">
            <w:pPr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</w:tcPr>
          <w:p w:rsidR="00924089" w:rsidRDefault="00924089">
            <w:pPr>
              <w:spacing w:line="356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1" w:line="221" w:lineRule="auto"/>
              <w:ind w:left="125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2"/>
                <w:sz w:val="24"/>
                <w:szCs w:val="24"/>
              </w:rPr>
              <w:t>问题描述</w:t>
            </w:r>
            <w:proofErr w:type="spellEnd"/>
          </w:p>
        </w:tc>
        <w:tc>
          <w:tcPr>
            <w:tcW w:w="6042" w:type="dxa"/>
          </w:tcPr>
          <w:p w:rsidR="00924089" w:rsidRDefault="00F94326">
            <w:pPr>
              <w:pStyle w:val="a5"/>
              <w:widowControl w:val="0"/>
              <w:kinsoku/>
              <w:autoSpaceDE/>
              <w:autoSpaceDN/>
              <w:adjustRightInd/>
              <w:spacing w:line="336" w:lineRule="auto"/>
              <w:ind w:firstLineChars="200" w:firstLine="480"/>
              <w:jc w:val="both"/>
              <w:textAlignment w:val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于桥水库是天津市重要饮用水水源地，也是天津市最大湖泊和引滦入津中转水库。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2017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2019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年，水库水质年度评价均未达到地表水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类标准，特别是夏秋季期间，化学需氧量、总磷等污染物浓度上升，蓝藻爆发，存在长时间无法供水的问题，对天津城市饮用水安全造成严重威胁；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2020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月至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月，于桥水库仍为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类水质。</w:t>
            </w:r>
          </w:p>
        </w:tc>
      </w:tr>
      <w:tr w:rsidR="00924089">
        <w:trPr>
          <w:trHeight w:val="733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127" w:line="219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2"/>
                <w:sz w:val="24"/>
                <w:szCs w:val="24"/>
              </w:rPr>
              <w:t>责任单位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924089">
            <w:pPr>
              <w:pStyle w:val="a5"/>
              <w:widowControl w:val="0"/>
              <w:kinsoku/>
              <w:autoSpaceDE/>
              <w:autoSpaceDN/>
              <w:adjustRightInd/>
              <w:spacing w:line="336" w:lineRule="auto"/>
              <w:jc w:val="both"/>
              <w:textAlignment w:val="auto"/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a5"/>
              <w:widowControl w:val="0"/>
              <w:kinsoku/>
              <w:autoSpaceDE/>
              <w:autoSpaceDN/>
              <w:adjustRightInd/>
              <w:spacing w:line="336" w:lineRule="auto"/>
              <w:jc w:val="both"/>
              <w:textAlignment w:val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市水</w:t>
            </w:r>
            <w:proofErr w:type="gramStart"/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局、市生态环境局、市农业农村委，</w:t>
            </w:r>
            <w:proofErr w:type="gramStart"/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蓟</w:t>
            </w:r>
            <w:proofErr w:type="gramEnd"/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州区委、区政府</w:t>
            </w:r>
          </w:p>
        </w:tc>
      </w:tr>
      <w:tr w:rsidR="00924089">
        <w:trPr>
          <w:trHeight w:val="587"/>
        </w:trPr>
        <w:tc>
          <w:tcPr>
            <w:tcW w:w="1963" w:type="dxa"/>
          </w:tcPr>
          <w:p w:rsidR="00924089" w:rsidRDefault="00F94326" w:rsidP="00555958">
            <w:pPr>
              <w:pStyle w:val="TableText"/>
              <w:spacing w:before="228" w:line="219" w:lineRule="auto"/>
              <w:ind w:firstLineChars="200" w:firstLine="47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整改目标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 w:rsidP="00555958">
            <w:pPr>
              <w:pStyle w:val="TableText"/>
              <w:spacing w:before="232" w:line="219" w:lineRule="auto"/>
              <w:ind w:firstLineChars="200" w:firstLine="474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于桥水库年度平均水质达到地表水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Ⅲ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类标准，提高天津城市供水安全保障程度。</w:t>
            </w:r>
          </w:p>
        </w:tc>
      </w:tr>
      <w:tr w:rsidR="00924089">
        <w:trPr>
          <w:trHeight w:val="782"/>
        </w:trPr>
        <w:tc>
          <w:tcPr>
            <w:tcW w:w="1963" w:type="dxa"/>
          </w:tcPr>
          <w:p w:rsidR="00924089" w:rsidRDefault="00924089">
            <w:pPr>
              <w:spacing w:line="246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1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整改措施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82" w:line="223" w:lineRule="auto"/>
              <w:ind w:right="3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加强流域协同治理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于桥水库周边污染源治理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加强于桥水库水资源保护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。</w:t>
            </w:r>
          </w:p>
        </w:tc>
      </w:tr>
      <w:tr w:rsidR="00924089">
        <w:trPr>
          <w:trHeight w:val="4029"/>
        </w:trPr>
        <w:tc>
          <w:tcPr>
            <w:tcW w:w="1963" w:type="dxa"/>
          </w:tcPr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924089">
            <w:pPr>
              <w:spacing w:line="267" w:lineRule="auto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pStyle w:val="TableText"/>
              <w:spacing w:before="81" w:line="225" w:lineRule="auto"/>
              <w:ind w:left="597" w:right="214" w:hanging="369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2"/>
                <w:sz w:val="24"/>
                <w:szCs w:val="24"/>
              </w:rPr>
              <w:t>整改主要工作</w:t>
            </w:r>
            <w:proofErr w:type="spellEnd"/>
            <w:r>
              <w:rPr>
                <w:rFonts w:ascii="Times New Roman" w:eastAsia="黑体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及成效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924089">
            <w:pPr>
              <w:spacing w:line="278" w:lineRule="auto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</w:p>
          <w:p w:rsidR="00924089" w:rsidRDefault="00F94326">
            <w:pP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持续推动引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上游水质改善，严格落实引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上下游横向生态补偿第二期协议，继续签署引滦入津流域横向生态保护补偿第三期协议。通过实施于桥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水库环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库截污沟二期工程和入库沟口湿地工程建设，有效净化了水库周边来水。优化调度于桥水库入库河口湿地，将水库上游引水和汛期首场洪水通过生态系统进行净化，大大减少了直接入库的污染物。开展于桥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水库草藻防控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，累计投放水生植物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813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万株，打捞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菹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62.87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万方，投放净水生物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4381.76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万尾，净化了水质。大力推广化肥减量增效技术，制定了于桥水库周边农业面源污染调查、防治工作方案，推进化肥减量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效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技术推广应用，全面提升了库区水环境。强化库区封闭管理，组织开展联合执法专项行动，维护正常的水库管理秩序。于桥水库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-2023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年均水质达到地表水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类标准。</w:t>
            </w:r>
          </w:p>
          <w:p w:rsidR="00924089" w:rsidRDefault="00924089">
            <w:pPr>
              <w:pStyle w:val="TableText"/>
              <w:spacing w:before="81" w:line="230" w:lineRule="auto"/>
              <w:ind w:left="92" w:right="6" w:firstLine="469"/>
              <w:jc w:val="both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089">
        <w:trPr>
          <w:trHeight w:val="448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95" w:line="219" w:lineRule="auto"/>
              <w:ind w:left="478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</w:rPr>
              <w:t>整改时限</w:t>
            </w:r>
            <w:proofErr w:type="spellEnd"/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99" w:line="219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2023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月</w:t>
            </w:r>
          </w:p>
        </w:tc>
      </w:tr>
      <w:tr w:rsidR="00924089">
        <w:trPr>
          <w:trHeight w:val="594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123" w:line="227" w:lineRule="auto"/>
              <w:ind w:left="597" w:right="116" w:hanging="499"/>
              <w:jc w:val="center"/>
              <w:rPr>
                <w:rFonts w:ascii="Times New Roman" w:eastAsia="黑体" w:hAnsi="Times New Roman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pacing w:val="-5"/>
                <w:sz w:val="24"/>
                <w:szCs w:val="24"/>
                <w:lang w:eastAsia="zh-CN"/>
              </w:rPr>
              <w:t>验收销号意见</w:t>
            </w:r>
          </w:p>
        </w:tc>
        <w:tc>
          <w:tcPr>
            <w:tcW w:w="7300" w:type="dxa"/>
            <w:gridSpan w:val="2"/>
            <w:vAlign w:val="center"/>
          </w:tcPr>
          <w:p w:rsidR="00924089" w:rsidRDefault="00F94326">
            <w:pPr>
              <w:pStyle w:val="TableText"/>
              <w:spacing w:before="285" w:line="216" w:lineRule="auto"/>
              <w:ind w:left="2022"/>
              <w:jc w:val="both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Nimbus Roman No9 L" w:eastAsia="仿宋_GB2312" w:hAnsi="Nimbus Roman No9 L" w:cs="Nimbus Roman No9 L"/>
                <w:sz w:val="24"/>
                <w:szCs w:val="24"/>
                <w:lang w:eastAsia="zh-CN"/>
              </w:rPr>
              <w:t>整改合格，同意验收销号</w:t>
            </w:r>
            <w:r>
              <w:rPr>
                <w:rFonts w:ascii="Nimbus Roman No9 L" w:eastAsia="仿宋_GB2312" w:hAnsi="Nimbus Roman No9 L" w:cs="Nimbus Roman No9 L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924089">
        <w:trPr>
          <w:trHeight w:val="814"/>
        </w:trPr>
        <w:tc>
          <w:tcPr>
            <w:tcW w:w="1963" w:type="dxa"/>
          </w:tcPr>
          <w:p w:rsidR="00924089" w:rsidRDefault="00F94326">
            <w:pPr>
              <w:pStyle w:val="TableText"/>
              <w:spacing w:before="123" w:line="227" w:lineRule="auto"/>
              <w:ind w:left="597" w:right="116" w:hanging="499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  <w:lang w:eastAsia="zh-CN"/>
              </w:rPr>
              <w:t>社会监督联系人</w:t>
            </w:r>
            <w:r>
              <w:rPr>
                <w:rFonts w:ascii="Times New Roman" w:eastAsia="黑体" w:hAnsi="Times New Roman" w:cs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5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7300" w:type="dxa"/>
            <w:gridSpan w:val="2"/>
          </w:tcPr>
          <w:p w:rsidR="00924089" w:rsidRDefault="00F94326">
            <w:pPr>
              <w:pStyle w:val="TableText"/>
              <w:spacing w:before="285" w:line="216" w:lineRule="auto"/>
              <w:ind w:left="2022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联系人</w:t>
            </w:r>
            <w:proofErr w:type="spellEnd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杨军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63086729</w:t>
            </w:r>
          </w:p>
        </w:tc>
      </w:tr>
    </w:tbl>
    <w:p w:rsidR="00924089" w:rsidRDefault="00924089">
      <w:pPr>
        <w:rPr>
          <w:rFonts w:ascii="Times New Roman" w:hAnsi="Times New Roman" w:cs="Times New Roman"/>
        </w:rPr>
      </w:pPr>
    </w:p>
    <w:sectPr w:rsidR="00924089">
      <w:footerReference w:type="default" r:id="rId8"/>
      <w:pgSz w:w="11530" w:h="16440"/>
      <w:pgMar w:top="1397" w:right="1310" w:bottom="1161" w:left="1270" w:header="0" w:footer="86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26" w:rsidRDefault="00F94326">
      <w:r>
        <w:separator/>
      </w:r>
    </w:p>
  </w:endnote>
  <w:endnote w:type="continuationSeparator" w:id="0">
    <w:p w:rsidR="00F94326" w:rsidRDefault="00F9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89" w:rsidRDefault="00F94326">
    <w:pPr>
      <w:spacing w:line="177" w:lineRule="auto"/>
      <w:rPr>
        <w:rFonts w:ascii="宋体" w:eastAsia="宋体" w:hAnsi="宋体" w:cs="宋体"/>
        <w:sz w:val="30"/>
        <w:szCs w:val="30"/>
      </w:rPr>
    </w:pPr>
    <w:r>
      <w:rPr>
        <w:noProof/>
        <w:sz w:val="3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4089" w:rsidRDefault="00F94326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 w:rsidR="00555958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32"/>
                              <w:szCs w:val="32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24089" w:rsidRDefault="00F94326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 w:rsidR="00555958">
                      <w:rPr>
                        <w:rFonts w:asciiTheme="minorEastAsia" w:eastAsiaTheme="minorEastAsia" w:hAnsiTheme="minorEastAsia" w:cstheme="minorEastAsia"/>
                        <w:noProof/>
                        <w:sz w:val="32"/>
                        <w:szCs w:val="32"/>
                        <w:lang w:eastAsia="zh-CN"/>
                      </w:rPr>
                      <w:t>4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26" w:rsidRDefault="00F94326">
      <w:r>
        <w:separator/>
      </w:r>
    </w:p>
  </w:footnote>
  <w:footnote w:type="continuationSeparator" w:id="0">
    <w:p w:rsidR="00F94326" w:rsidRDefault="00F9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924089"/>
    <w:rsid w:val="FED90FD5"/>
    <w:rsid w:val="FF7FB9E9"/>
    <w:rsid w:val="00555958"/>
    <w:rsid w:val="00924089"/>
    <w:rsid w:val="00F94326"/>
    <w:rsid w:val="02A256C3"/>
    <w:rsid w:val="164909BA"/>
    <w:rsid w:val="1BBFB2DB"/>
    <w:rsid w:val="1FEF744C"/>
    <w:rsid w:val="39435BAE"/>
    <w:rsid w:val="3D4D3FE0"/>
    <w:rsid w:val="3D88C5F2"/>
    <w:rsid w:val="3FFF3B4B"/>
    <w:rsid w:val="482F76D4"/>
    <w:rsid w:val="492278C7"/>
    <w:rsid w:val="4CFA2B30"/>
    <w:rsid w:val="53E5848A"/>
    <w:rsid w:val="603E29D1"/>
    <w:rsid w:val="6BFBDFCC"/>
    <w:rsid w:val="71571B60"/>
    <w:rsid w:val="73DF5B1C"/>
    <w:rsid w:val="770A4A80"/>
    <w:rsid w:val="791B0A85"/>
    <w:rsid w:val="79FA9C85"/>
    <w:rsid w:val="7AC96CDB"/>
    <w:rsid w:val="7BB177A5"/>
    <w:rsid w:val="7CEFDD7A"/>
    <w:rsid w:val="7E3FE547"/>
    <w:rsid w:val="7FFF5D38"/>
    <w:rsid w:val="A6FFD4BD"/>
    <w:rsid w:val="ABEDA3ED"/>
    <w:rsid w:val="B36BE4D3"/>
    <w:rsid w:val="B5FFE43B"/>
    <w:rsid w:val="B69F5EAE"/>
    <w:rsid w:val="BFBF3A34"/>
    <w:rsid w:val="BFF74F7E"/>
    <w:rsid w:val="CEEE18E1"/>
    <w:rsid w:val="CF5F7A85"/>
    <w:rsid w:val="DB7F7EB1"/>
    <w:rsid w:val="DBF7C3E6"/>
    <w:rsid w:val="DEA794F6"/>
    <w:rsid w:val="F07DE248"/>
    <w:rsid w:val="F671FCB0"/>
    <w:rsid w:val="F7D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rPr>
      <w:rFonts w:ascii="方正书宋_GBK" w:hAnsi="DejaVu Sans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2">
    <w:name w:val="Body Text First Indent 2"/>
    <w:basedOn w:val="a4"/>
    <w:qFormat/>
    <w:pPr>
      <w:ind w:firstLineChars="200" w:firstLine="420"/>
    </w:p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rPr>
      <w:rFonts w:ascii="方正书宋_GBK" w:hAnsi="DejaVu Sans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2">
    <w:name w:val="Body Text First Indent 2"/>
    <w:basedOn w:val="a4"/>
    <w:qFormat/>
    <w:pPr>
      <w:ind w:firstLineChars="200" w:firstLine="420"/>
    </w:p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381</Words>
  <Characters>2175</Characters>
  <Application>Microsoft Office Word</Application>
  <DocSecurity>0</DocSecurity>
  <Lines>18</Lines>
  <Paragraphs>5</Paragraphs>
  <ScaleCrop>false</ScaleCrop>
  <Company>P R C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</dc:creator>
  <cp:lastModifiedBy>Windows User</cp:lastModifiedBy>
  <cp:revision>2</cp:revision>
  <cp:lastPrinted>2024-08-05T08:48:00Z</cp:lastPrinted>
  <dcterms:created xsi:type="dcterms:W3CDTF">2024-08-05T10:38:00Z</dcterms:created>
  <dcterms:modified xsi:type="dcterms:W3CDTF">2024-08-05T10:38:00Z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2024-06-25T16:07:27Z</vt:filetime>
  </property>
  <property fmtid="{D5CDD505-2E9C-101B-9397-08002B2CF9AE}" pid="4" name="UsrData">
    <vt:lpwstr>667a7aba67d354001ffb0ef8wl</vt:lpwstr>
  </property>
  <property fmtid="{D5CDD505-2E9C-101B-9397-08002B2CF9AE}" pid="5" name="KSOProductBuildVer">
    <vt:lpwstr>2052-11.8.2.9793</vt:lpwstr>
  </property>
</Properties>
</file>