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BC5AF">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center"/>
        <w:textAlignment w:val="auto"/>
        <w:rPr>
          <w:rFonts w:hint="default" w:ascii="Times New Roman" w:hAnsi="Times New Roman" w:eastAsia="仿宋" w:cs="Times New Roman"/>
          <w:sz w:val="32"/>
          <w:szCs w:val="32"/>
        </w:rPr>
      </w:pPr>
    </w:p>
    <w:p w14:paraId="426D65A5">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center"/>
        <w:textAlignment w:val="auto"/>
        <w:rPr>
          <w:rFonts w:hint="default" w:ascii="Times New Roman" w:hAnsi="Times New Roman" w:eastAsia="仿宋" w:cs="Times New Roman"/>
          <w:sz w:val="32"/>
          <w:szCs w:val="32"/>
        </w:rPr>
      </w:pPr>
    </w:p>
    <w:p w14:paraId="03831813">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center"/>
        <w:textAlignment w:val="auto"/>
        <w:rPr>
          <w:rFonts w:hint="default" w:ascii="Times New Roman" w:hAnsi="Times New Roman" w:eastAsia="仿宋" w:cs="Times New Roman"/>
          <w:sz w:val="32"/>
          <w:szCs w:val="32"/>
        </w:rPr>
      </w:pPr>
    </w:p>
    <w:p w14:paraId="0FA86B06">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center"/>
        <w:textAlignment w:val="auto"/>
        <w:rPr>
          <w:rFonts w:hint="default" w:ascii="Times New Roman" w:hAnsi="Times New Roman" w:eastAsia="仿宋" w:cs="Times New Roman"/>
          <w:b/>
          <w:sz w:val="24"/>
          <w:szCs w:val="24"/>
        </w:rPr>
      </w:pPr>
      <w:r>
        <w:rPr>
          <w:rFonts w:hint="eastAsia" w:ascii="宋体" w:hAnsi="宋体" w:eastAsia="宋体" w:cs="宋体"/>
          <w:b/>
          <w:color w:val="000000"/>
          <w:sz w:val="52"/>
          <w:szCs w:val="52"/>
        </w:rPr>
        <w:t>生产建设项目水土保持设施</w:t>
      </w:r>
    </w:p>
    <w:p w14:paraId="664CBA15">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center"/>
        <w:textAlignment w:val="auto"/>
        <w:rPr>
          <w:rFonts w:hint="default" w:ascii="Times New Roman" w:hAnsi="Times New Roman" w:eastAsia="仿宋" w:cs="Times New Roman"/>
          <w:b/>
          <w:sz w:val="24"/>
          <w:szCs w:val="24"/>
        </w:rPr>
      </w:pPr>
      <w:r>
        <w:rPr>
          <w:rFonts w:hint="eastAsia" w:ascii="仿宋_GB2312" w:hAnsi="仿宋_GB2312" w:eastAsia="仿宋_GB2312" w:cs="仿宋_GB2312"/>
          <w:b/>
          <w:color w:val="000000"/>
          <w:sz w:val="84"/>
          <w:szCs w:val="84"/>
        </w:rPr>
        <w:t>验收鉴定书</w:t>
      </w:r>
    </w:p>
    <w:p w14:paraId="3DCDA912">
      <w:pPr>
        <w:keepNext w:val="0"/>
        <w:keepLines w:val="0"/>
        <w:pageBreakBefore w:val="0"/>
        <w:widowControl w:val="0"/>
        <w:kinsoku/>
        <w:wordWrap/>
        <w:overflowPunct/>
        <w:topLinePunct w:val="0"/>
        <w:autoSpaceDE/>
        <w:autoSpaceDN/>
        <w:bidi w:val="0"/>
        <w:adjustRightInd w:val="0"/>
        <w:snapToGrid w:val="0"/>
        <w:spacing w:line="480" w:lineRule="auto"/>
        <w:ind w:firstLine="1124" w:firstLineChars="400"/>
        <w:textAlignment w:val="auto"/>
        <w:rPr>
          <w:rFonts w:hint="default" w:ascii="Times New Roman Regular" w:hAnsi="Times New Roman Regular" w:eastAsia="仿宋_GB2312" w:cs="Times New Roman Regular"/>
          <w:b/>
          <w:bCs/>
          <w:color w:val="000000"/>
          <w:sz w:val="28"/>
          <w:szCs w:val="28"/>
        </w:rPr>
      </w:pPr>
    </w:p>
    <w:p w14:paraId="560014BB">
      <w:pPr>
        <w:keepNext w:val="0"/>
        <w:keepLines w:val="0"/>
        <w:pageBreakBefore w:val="0"/>
        <w:widowControl w:val="0"/>
        <w:kinsoku/>
        <w:wordWrap/>
        <w:overflowPunct/>
        <w:topLinePunct w:val="0"/>
        <w:autoSpaceDE/>
        <w:autoSpaceDN/>
        <w:bidi w:val="0"/>
        <w:adjustRightInd w:val="0"/>
        <w:snapToGrid w:val="0"/>
        <w:spacing w:line="480" w:lineRule="auto"/>
        <w:ind w:firstLine="1124" w:firstLineChars="400"/>
        <w:textAlignment w:val="auto"/>
        <w:rPr>
          <w:rFonts w:hint="default" w:ascii="Times New Roman Regular" w:hAnsi="Times New Roman Regular" w:eastAsia="仿宋_GB2312" w:cs="Times New Roman Regular"/>
          <w:b/>
          <w:bCs/>
          <w:color w:val="000000"/>
          <w:sz w:val="28"/>
          <w:szCs w:val="28"/>
        </w:rPr>
      </w:pPr>
    </w:p>
    <w:p w14:paraId="75A43707">
      <w:pPr>
        <w:keepNext w:val="0"/>
        <w:keepLines w:val="0"/>
        <w:pageBreakBefore w:val="0"/>
        <w:widowControl w:val="0"/>
        <w:kinsoku/>
        <w:wordWrap/>
        <w:overflowPunct/>
        <w:topLinePunct w:val="0"/>
        <w:autoSpaceDE/>
        <w:autoSpaceDN/>
        <w:bidi w:val="0"/>
        <w:adjustRightInd w:val="0"/>
        <w:snapToGrid w:val="0"/>
        <w:spacing w:line="480" w:lineRule="auto"/>
        <w:ind w:firstLine="1124" w:firstLineChars="400"/>
        <w:textAlignment w:val="auto"/>
        <w:rPr>
          <w:rFonts w:hint="default" w:ascii="Times New Roman Regular" w:hAnsi="Times New Roman Regular" w:eastAsia="仿宋_GB2312" w:cs="Times New Roman Regular"/>
          <w:b/>
          <w:bCs/>
          <w:color w:val="000000"/>
          <w:sz w:val="28"/>
          <w:szCs w:val="28"/>
        </w:rPr>
      </w:pPr>
    </w:p>
    <w:p w14:paraId="2633EFCF">
      <w:pPr>
        <w:keepNext w:val="0"/>
        <w:keepLines w:val="0"/>
        <w:pageBreakBefore w:val="0"/>
        <w:widowControl w:val="0"/>
        <w:kinsoku/>
        <w:wordWrap/>
        <w:overflowPunct/>
        <w:topLinePunct w:val="0"/>
        <w:autoSpaceDE/>
        <w:autoSpaceDN/>
        <w:bidi w:val="0"/>
        <w:adjustRightInd w:val="0"/>
        <w:snapToGrid w:val="0"/>
        <w:spacing w:line="480" w:lineRule="auto"/>
        <w:ind w:firstLine="1124" w:firstLineChars="400"/>
        <w:textAlignment w:val="auto"/>
        <w:rPr>
          <w:rFonts w:hint="default" w:ascii="Times New Roman Regular" w:hAnsi="Times New Roman Regular" w:eastAsia="仿宋_GB2312" w:cs="Times New Roman Regular"/>
          <w:b/>
          <w:bCs/>
          <w:color w:val="000000"/>
          <w:sz w:val="28"/>
          <w:szCs w:val="28"/>
        </w:rPr>
      </w:pPr>
    </w:p>
    <w:p w14:paraId="02F20EED">
      <w:pPr>
        <w:keepNext w:val="0"/>
        <w:keepLines w:val="0"/>
        <w:pageBreakBefore w:val="0"/>
        <w:widowControl w:val="0"/>
        <w:kinsoku/>
        <w:wordWrap/>
        <w:overflowPunct/>
        <w:topLinePunct w:val="0"/>
        <w:autoSpaceDE/>
        <w:autoSpaceDN/>
        <w:bidi w:val="0"/>
        <w:adjustRightInd w:val="0"/>
        <w:snapToGrid w:val="0"/>
        <w:spacing w:line="480" w:lineRule="auto"/>
        <w:ind w:firstLine="1124" w:firstLineChars="400"/>
        <w:textAlignment w:val="auto"/>
        <w:rPr>
          <w:rFonts w:hint="default" w:ascii="Times New Roman Regular" w:hAnsi="Times New Roman Regular" w:eastAsia="仿宋_GB2312" w:cs="Times New Roman Regular"/>
          <w:b/>
          <w:bCs/>
          <w:color w:val="000000"/>
          <w:sz w:val="28"/>
          <w:szCs w:val="28"/>
        </w:rPr>
      </w:pPr>
    </w:p>
    <w:p w14:paraId="6A3915EB">
      <w:pPr>
        <w:keepNext w:val="0"/>
        <w:keepLines w:val="0"/>
        <w:pageBreakBefore w:val="0"/>
        <w:widowControl w:val="0"/>
        <w:kinsoku/>
        <w:wordWrap/>
        <w:overflowPunct/>
        <w:topLinePunct w:val="0"/>
        <w:autoSpaceDE/>
        <w:autoSpaceDN/>
        <w:bidi w:val="0"/>
        <w:adjustRightInd w:val="0"/>
        <w:snapToGrid w:val="0"/>
        <w:spacing w:line="480" w:lineRule="auto"/>
        <w:ind w:firstLine="1124" w:firstLineChars="400"/>
        <w:textAlignment w:val="auto"/>
        <w:rPr>
          <w:rFonts w:hint="default" w:ascii="Times New Roman Regular" w:hAnsi="Times New Roman Regular" w:eastAsia="仿宋_GB2312" w:cs="Times New Roman Regular"/>
          <w:b/>
          <w:bCs/>
          <w:color w:val="000000"/>
          <w:sz w:val="28"/>
          <w:szCs w:val="28"/>
        </w:rPr>
      </w:pPr>
    </w:p>
    <w:p w14:paraId="724C987D">
      <w:pPr>
        <w:keepNext w:val="0"/>
        <w:keepLines w:val="0"/>
        <w:pageBreakBefore w:val="0"/>
        <w:widowControl w:val="0"/>
        <w:kinsoku/>
        <w:wordWrap/>
        <w:overflowPunct/>
        <w:topLinePunct w:val="0"/>
        <w:autoSpaceDE/>
        <w:autoSpaceDN/>
        <w:bidi w:val="0"/>
        <w:adjustRightInd w:val="0"/>
        <w:snapToGrid w:val="0"/>
        <w:spacing w:line="480" w:lineRule="auto"/>
        <w:ind w:firstLine="1124" w:firstLineChars="400"/>
        <w:textAlignment w:val="auto"/>
        <w:rPr>
          <w:rFonts w:hint="default" w:ascii="Times New Roman Regular" w:hAnsi="Times New Roman Regular" w:eastAsia="仿宋_GB2312" w:cs="Times New Roman Regular"/>
          <w:b/>
          <w:bCs/>
          <w:color w:val="000000"/>
          <w:sz w:val="28"/>
          <w:szCs w:val="28"/>
        </w:rPr>
      </w:pPr>
    </w:p>
    <w:p w14:paraId="0A9FAD2B">
      <w:pPr>
        <w:keepNext w:val="0"/>
        <w:keepLines w:val="0"/>
        <w:pageBreakBefore w:val="0"/>
        <w:widowControl w:val="0"/>
        <w:kinsoku/>
        <w:wordWrap/>
        <w:overflowPunct/>
        <w:topLinePunct w:val="0"/>
        <w:autoSpaceDE/>
        <w:autoSpaceDN/>
        <w:bidi w:val="0"/>
        <w:adjustRightInd w:val="0"/>
        <w:snapToGrid w:val="0"/>
        <w:spacing w:line="480" w:lineRule="auto"/>
        <w:ind w:firstLine="843" w:firstLineChars="300"/>
        <w:textAlignment w:val="auto"/>
        <w:rPr>
          <w:rFonts w:hint="default" w:ascii="Times New Roman Regular" w:hAnsi="Times New Roman Regular" w:eastAsia="仿宋_GB2312" w:cs="Times New Roman Regular"/>
          <w:b/>
          <w:bCs/>
          <w:color w:val="000000"/>
          <w:sz w:val="28"/>
          <w:szCs w:val="28"/>
          <w:u w:val="single"/>
          <w:lang w:val="en-US" w:eastAsia="zh-CN"/>
        </w:rPr>
      </w:pPr>
      <w:r>
        <w:rPr>
          <w:rFonts w:hint="default" w:ascii="Times New Roman Regular" w:hAnsi="Times New Roman Regular" w:eastAsia="仿宋_GB2312" w:cs="Times New Roman Regular"/>
          <w:b/>
          <w:bCs/>
          <w:color w:val="000000"/>
          <w:sz w:val="28"/>
          <w:szCs w:val="28"/>
        </w:rPr>
        <w:t>项目名称</w:t>
      </w:r>
      <w:r>
        <w:rPr>
          <w:rFonts w:hint="eastAsia" w:ascii="Times New Roman Regular" w:hAnsi="Times New Roman Regular" w:eastAsia="仿宋_GB2312" w:cs="Times New Roman Regular"/>
          <w:b/>
          <w:bCs/>
          <w:color w:val="000000"/>
          <w:sz w:val="28"/>
          <w:szCs w:val="28"/>
          <w:lang w:eastAsia="zh-CN"/>
        </w:rPr>
        <w:t>：</w:t>
      </w:r>
      <w:r>
        <w:rPr>
          <w:rFonts w:hint="eastAsia" w:ascii="Times New Roman Regular" w:hAnsi="Times New Roman Regular" w:eastAsia="仿宋_GB2312" w:cs="Times New Roman Regular"/>
          <w:b/>
          <w:bCs/>
          <w:color w:val="000000"/>
          <w:sz w:val="28"/>
          <w:szCs w:val="28"/>
          <w:lang w:val="en-US" w:eastAsia="zh-CN"/>
        </w:rPr>
        <w:t xml:space="preserve"> </w:t>
      </w:r>
      <w:r>
        <w:rPr>
          <w:rFonts w:hint="eastAsia" w:ascii="Times New Roman Regular" w:hAnsi="Times New Roman Regular" w:eastAsia="仿宋_GB2312" w:cs="Times New Roman Regular"/>
          <w:b/>
          <w:bCs/>
          <w:color w:val="000000"/>
          <w:sz w:val="28"/>
          <w:szCs w:val="28"/>
          <w:u w:val="single"/>
          <w:lang w:val="en-US" w:eastAsia="zh-CN"/>
        </w:rPr>
        <w:t xml:space="preserve">    </w:t>
      </w:r>
      <w:r>
        <w:rPr>
          <w:rFonts w:hint="eastAsia" w:ascii="Times New Roman Regular" w:hAnsi="Times New Roman Regular" w:eastAsia="仿宋_GB2312" w:cs="Times New Roman Regular"/>
          <w:b/>
          <w:bCs/>
          <w:color w:val="000000"/>
          <w:sz w:val="28"/>
          <w:szCs w:val="28"/>
          <w:u w:val="single"/>
          <w:lang w:eastAsia="zh-CN"/>
        </w:rPr>
        <w:t>民和道污水泵站及进出水管道工程</w:t>
      </w:r>
      <w:r>
        <w:rPr>
          <w:rFonts w:hint="eastAsia" w:ascii="Times New Roman Regular" w:hAnsi="Times New Roman Regular" w:eastAsia="仿宋_GB2312" w:cs="Times New Roman Regular"/>
          <w:b/>
          <w:bCs/>
          <w:color w:val="000000"/>
          <w:sz w:val="28"/>
          <w:szCs w:val="28"/>
          <w:u w:val="single"/>
          <w:lang w:val="en-US" w:eastAsia="zh-CN"/>
        </w:rPr>
        <w:t xml:space="preserve">    </w:t>
      </w:r>
    </w:p>
    <w:p w14:paraId="5D0DEB3C">
      <w:pPr>
        <w:keepNext w:val="0"/>
        <w:keepLines w:val="0"/>
        <w:pageBreakBefore w:val="0"/>
        <w:widowControl w:val="0"/>
        <w:kinsoku/>
        <w:wordWrap/>
        <w:overflowPunct/>
        <w:topLinePunct w:val="0"/>
        <w:autoSpaceDE/>
        <w:autoSpaceDN/>
        <w:bidi w:val="0"/>
        <w:adjustRightInd w:val="0"/>
        <w:snapToGrid w:val="0"/>
        <w:spacing w:line="480" w:lineRule="auto"/>
        <w:ind w:firstLine="843" w:firstLineChars="300"/>
        <w:textAlignment w:val="auto"/>
        <w:rPr>
          <w:rFonts w:hint="default" w:ascii="Times New Roman Regular" w:hAnsi="Times New Roman Regular" w:eastAsia="仿宋_GB2312" w:cs="Times New Roman Regular"/>
          <w:b/>
          <w:bCs/>
          <w:sz w:val="24"/>
          <w:szCs w:val="24"/>
          <w:u w:val="single"/>
          <w:lang w:val="en-US" w:eastAsia="zh-CN"/>
        </w:rPr>
      </w:pPr>
      <w:r>
        <w:rPr>
          <w:rFonts w:hint="default" w:ascii="Times New Roman Regular" w:hAnsi="Times New Roman Regular" w:eastAsia="仿宋_GB2312" w:cs="Times New Roman Regular"/>
          <w:b/>
          <w:bCs/>
          <w:color w:val="000000"/>
          <w:sz w:val="28"/>
          <w:szCs w:val="28"/>
        </w:rPr>
        <w:t>项目编号</w:t>
      </w:r>
      <w:r>
        <w:rPr>
          <w:rFonts w:hint="eastAsia" w:ascii="Times New Roman Regular" w:hAnsi="Times New Roman Regular" w:eastAsia="仿宋_GB2312" w:cs="Times New Roman Regular"/>
          <w:b/>
          <w:bCs/>
          <w:color w:val="000000"/>
          <w:sz w:val="28"/>
          <w:szCs w:val="28"/>
          <w:lang w:eastAsia="zh-CN"/>
        </w:rPr>
        <w:t>：</w:t>
      </w:r>
      <w:r>
        <w:rPr>
          <w:rFonts w:hint="eastAsia" w:ascii="Times New Roman Regular" w:hAnsi="Times New Roman Regular" w:eastAsia="仿宋_GB2312" w:cs="Times New Roman Regular"/>
          <w:b/>
          <w:bCs/>
          <w:color w:val="000000"/>
          <w:sz w:val="28"/>
          <w:szCs w:val="28"/>
          <w:u w:val="single"/>
          <w:lang w:val="en-US" w:eastAsia="zh-CN"/>
        </w:rPr>
        <w:t xml:space="preserve">       2201-120111-04-01-295280         </w:t>
      </w:r>
    </w:p>
    <w:p w14:paraId="6C247417">
      <w:pPr>
        <w:keepNext w:val="0"/>
        <w:keepLines w:val="0"/>
        <w:pageBreakBefore w:val="0"/>
        <w:widowControl w:val="0"/>
        <w:kinsoku/>
        <w:wordWrap/>
        <w:overflowPunct/>
        <w:topLinePunct w:val="0"/>
        <w:autoSpaceDE/>
        <w:autoSpaceDN/>
        <w:bidi w:val="0"/>
        <w:adjustRightInd w:val="0"/>
        <w:snapToGrid w:val="0"/>
        <w:spacing w:line="480" w:lineRule="auto"/>
        <w:ind w:firstLine="843" w:firstLineChars="300"/>
        <w:textAlignment w:val="auto"/>
        <w:rPr>
          <w:rFonts w:hint="default" w:ascii="Times New Roman Regular" w:hAnsi="Times New Roman Regular" w:eastAsia="仿宋_GB2312" w:cs="Times New Roman Regular"/>
          <w:b/>
          <w:bCs/>
          <w:color w:val="000000"/>
          <w:sz w:val="28"/>
          <w:szCs w:val="28"/>
          <w:u w:val="single"/>
          <w:lang w:val="en-US" w:eastAsia="zh-CN"/>
        </w:rPr>
      </w:pPr>
      <w:r>
        <w:rPr>
          <w:rFonts w:hint="default" w:ascii="Times New Roman Regular" w:hAnsi="Times New Roman Regular" w:eastAsia="仿宋_GB2312" w:cs="Times New Roman Regular"/>
          <w:b/>
          <w:bCs/>
          <w:color w:val="000000"/>
          <w:sz w:val="28"/>
          <w:szCs w:val="28"/>
        </w:rPr>
        <w:t>建设地点</w:t>
      </w:r>
      <w:r>
        <w:rPr>
          <w:rFonts w:hint="eastAsia" w:ascii="Times New Roman Regular" w:hAnsi="Times New Roman Regular" w:eastAsia="仿宋_GB2312" w:cs="Times New Roman Regular"/>
          <w:b/>
          <w:bCs/>
          <w:color w:val="000000"/>
          <w:sz w:val="28"/>
          <w:szCs w:val="28"/>
          <w:lang w:eastAsia="zh-CN"/>
        </w:rPr>
        <w:t>：</w:t>
      </w:r>
      <w:r>
        <w:rPr>
          <w:rFonts w:hint="eastAsia" w:ascii="Times New Roman Regular" w:hAnsi="Times New Roman Regular" w:eastAsia="仿宋_GB2312" w:cs="Times New Roman Regular"/>
          <w:b/>
          <w:bCs/>
          <w:color w:val="000000"/>
          <w:sz w:val="28"/>
          <w:szCs w:val="28"/>
          <w:u w:val="single"/>
          <w:lang w:val="en-US" w:eastAsia="zh-CN"/>
        </w:rPr>
        <w:t>天津市西青区大寺镇津港公路与民和道交口</w:t>
      </w:r>
    </w:p>
    <w:p w14:paraId="0859AF9E">
      <w:pPr>
        <w:keepNext w:val="0"/>
        <w:keepLines w:val="0"/>
        <w:pageBreakBefore w:val="0"/>
        <w:widowControl w:val="0"/>
        <w:kinsoku/>
        <w:wordWrap/>
        <w:overflowPunct/>
        <w:topLinePunct w:val="0"/>
        <w:autoSpaceDE/>
        <w:autoSpaceDN/>
        <w:bidi w:val="0"/>
        <w:adjustRightInd w:val="0"/>
        <w:snapToGrid w:val="0"/>
        <w:spacing w:line="480" w:lineRule="auto"/>
        <w:ind w:firstLine="843" w:firstLineChars="300"/>
        <w:jc w:val="left"/>
        <w:textAlignment w:val="auto"/>
        <w:rPr>
          <w:rFonts w:hint="default" w:ascii="Times New Roman Regular" w:hAnsi="Times New Roman Regular" w:eastAsia="仿宋_GB2312" w:cs="Times New Roman Regular"/>
          <w:b/>
          <w:bCs/>
          <w:sz w:val="28"/>
          <w:szCs w:val="28"/>
          <w:u w:val="single"/>
          <w:lang w:val="en-US" w:eastAsia="zh-CN"/>
        </w:rPr>
      </w:pPr>
      <w:r>
        <w:rPr>
          <w:rFonts w:hint="default" w:ascii="Times New Roman Regular" w:hAnsi="Times New Roman Regular" w:eastAsia="仿宋_GB2312" w:cs="Times New Roman Regular"/>
          <w:b/>
          <w:bCs/>
          <w:color w:val="000000"/>
          <w:sz w:val="28"/>
          <w:szCs w:val="28"/>
        </w:rPr>
        <w:t>验收单位</w:t>
      </w:r>
      <w:r>
        <w:rPr>
          <w:rFonts w:hint="eastAsia" w:ascii="Times New Roman Regular" w:hAnsi="Times New Roman Regular" w:eastAsia="仿宋_GB2312" w:cs="Times New Roman Regular"/>
          <w:b/>
          <w:bCs/>
          <w:color w:val="000000"/>
          <w:sz w:val="28"/>
          <w:szCs w:val="28"/>
          <w:lang w:eastAsia="zh-CN"/>
        </w:rPr>
        <w:t>：</w:t>
      </w:r>
      <w:r>
        <w:rPr>
          <w:rFonts w:hint="eastAsia" w:ascii="Times New Roman Regular" w:hAnsi="Times New Roman Regular" w:eastAsia="仿宋_GB2312" w:cs="Times New Roman Regular"/>
          <w:b/>
          <w:bCs/>
          <w:color w:val="000000"/>
          <w:sz w:val="28"/>
          <w:szCs w:val="28"/>
          <w:u w:val="single"/>
          <w:lang w:val="en-US" w:eastAsia="zh-CN"/>
        </w:rPr>
        <w:t xml:space="preserve">    天津市西青区住房和建设委员会      </w:t>
      </w:r>
    </w:p>
    <w:p w14:paraId="3B4DBBE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Times New Roman" w:hAnsi="Times New Roman" w:eastAsia="宋体" w:cs="Times New Roman"/>
          <w:b/>
          <w:bCs/>
          <w:color w:val="000000"/>
          <w:sz w:val="28"/>
          <w:szCs w:val="28"/>
          <w:lang w:val="en-US" w:eastAsia="zh-CN"/>
        </w:rPr>
      </w:pPr>
    </w:p>
    <w:p w14:paraId="7B722F0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Times New Roman" w:hAnsi="Times New Roman" w:eastAsia="宋体" w:cs="Times New Roman"/>
          <w:b/>
          <w:bCs/>
          <w:color w:val="000000"/>
          <w:sz w:val="28"/>
          <w:szCs w:val="28"/>
          <w:lang w:val="en-US" w:eastAsia="zh-CN"/>
        </w:rPr>
      </w:pPr>
    </w:p>
    <w:p w14:paraId="26AD9E1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Regular" w:hAnsi="Times New Roman Regular" w:eastAsia="仿宋_GB2312" w:cs="Times New Roman Regular"/>
          <w:b/>
          <w:bCs w:val="0"/>
          <w:color w:val="000000"/>
          <w:sz w:val="28"/>
          <w:szCs w:val="28"/>
          <w:lang w:val="en-US" w:eastAsia="zh-CN"/>
        </w:rPr>
      </w:pPr>
      <w:r>
        <w:rPr>
          <w:rFonts w:hint="default" w:ascii="Times New Roman Regular" w:hAnsi="Times New Roman Regular" w:eastAsia="仿宋_GB2312" w:cs="Times New Roman Regular"/>
          <w:b/>
          <w:bCs w:val="0"/>
          <w:color w:val="000000"/>
          <w:sz w:val="28"/>
          <w:szCs w:val="28"/>
          <w:lang w:val="en-US" w:eastAsia="zh-CN"/>
        </w:rPr>
        <w:t>2026年1月20日</w:t>
      </w:r>
    </w:p>
    <w:p w14:paraId="1E76156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仿宋" w:cs="Times New Roman"/>
          <w:b/>
          <w:bCs/>
          <w:color w:val="000000"/>
          <w:sz w:val="28"/>
          <w:szCs w:val="28"/>
          <w:lang w:val="en-US" w:eastAsia="zh-CN"/>
        </w:rPr>
      </w:pPr>
    </w:p>
    <w:p w14:paraId="23C4D70A">
      <w:pPr>
        <w:spacing w:before="156" w:beforeLines="50" w:after="156" w:afterLines="50"/>
        <w:rPr>
          <w:rFonts w:hint="default" w:ascii="Times New Roman" w:hAnsi="Times New Roman" w:eastAsia="仿宋" w:cs="Times New Roman"/>
          <w:b/>
          <w:bCs/>
          <w:sz w:val="30"/>
          <w:szCs w:val="30"/>
        </w:rPr>
        <w:sectPr>
          <w:pgSz w:w="11906" w:h="16838"/>
          <w:pgMar w:top="1440" w:right="1800" w:bottom="1440" w:left="1800" w:header="851" w:footer="992" w:gutter="0"/>
          <w:cols w:space="425" w:num="1"/>
          <w:docGrid w:type="lines" w:linePitch="312" w:charSpace="0"/>
        </w:sectPr>
      </w:pPr>
    </w:p>
    <w:p w14:paraId="5A125F04">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240" w:lineRule="auto"/>
        <w:ind w:firstLine="0" w:firstLineChars="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生产建设项目水土保持设施验收基本情况表</w:t>
      </w:r>
    </w:p>
    <w:tbl>
      <w:tblPr>
        <w:tblStyle w:val="13"/>
        <w:tblW w:w="5021"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422"/>
        <w:gridCol w:w="4234"/>
        <w:gridCol w:w="738"/>
        <w:gridCol w:w="1164"/>
      </w:tblGrid>
      <w:tr w14:paraId="2FE24F21">
        <w:trPr>
          <w:trHeight w:val="1171" w:hRule="atLeast"/>
          <w:jc w:val="center"/>
        </w:trPr>
        <w:tc>
          <w:tcPr>
            <w:tcW w:w="1415" w:type="pct"/>
            <w:vAlign w:val="center"/>
          </w:tcPr>
          <w:p w14:paraId="7770B6F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outlineLvl w:val="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项目名称</w:t>
            </w:r>
          </w:p>
        </w:tc>
        <w:tc>
          <w:tcPr>
            <w:tcW w:w="2473" w:type="pct"/>
            <w:tcBorders>
              <w:right w:val="single" w:color="auto" w:sz="4" w:space="0"/>
            </w:tcBorders>
            <w:vAlign w:val="center"/>
          </w:tcPr>
          <w:p w14:paraId="53D4DA2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outlineLvl w:val="0"/>
              <w:rPr>
                <w:rFonts w:hint="default" w:ascii="Times New Roman" w:hAnsi="Times New Roman" w:eastAsia="仿宋_GB2312" w:cs="Times New Roman"/>
                <w:color w:val="000000"/>
                <w:sz w:val="24"/>
                <w:szCs w:val="24"/>
                <w:lang w:eastAsia="zh-CN"/>
              </w:rPr>
            </w:pPr>
            <w:r>
              <w:rPr>
                <w:rFonts w:hint="eastAsia" w:ascii="Times New Roman" w:hAnsi="Times New Roman" w:eastAsia="仿宋_GB2312" w:cs="Times New Roman"/>
                <w:sz w:val="24"/>
                <w:highlight w:val="none"/>
                <w:lang w:eastAsia="zh-CN"/>
              </w:rPr>
              <w:t>民和道污水泵站及进出水管道工程</w:t>
            </w:r>
          </w:p>
        </w:tc>
        <w:tc>
          <w:tcPr>
            <w:tcW w:w="431" w:type="pct"/>
            <w:tcBorders>
              <w:left w:val="single" w:color="auto" w:sz="4" w:space="0"/>
              <w:right w:val="single" w:color="auto" w:sz="4" w:space="0"/>
            </w:tcBorders>
            <w:vAlign w:val="center"/>
          </w:tcPr>
          <w:p w14:paraId="2B600CC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outlineLvl w:val="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行业</w:t>
            </w:r>
          </w:p>
          <w:p w14:paraId="673DC17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outlineLvl w:val="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类别</w:t>
            </w:r>
          </w:p>
        </w:tc>
        <w:tc>
          <w:tcPr>
            <w:tcW w:w="680" w:type="pct"/>
            <w:tcBorders>
              <w:left w:val="single" w:color="auto" w:sz="4" w:space="0"/>
            </w:tcBorders>
            <w:vAlign w:val="center"/>
          </w:tcPr>
          <w:p w14:paraId="36DFC92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outlineLvl w:val="0"/>
              <w:rPr>
                <w:rFonts w:hint="default" w:ascii="Times New Roman" w:hAnsi="Times New Roman" w:eastAsia="仿宋_GB2312" w:cs="Times New Roman"/>
                <w:color w:val="000000"/>
                <w:sz w:val="24"/>
                <w:szCs w:val="24"/>
                <w:lang w:val="en-US" w:eastAsia="zh-CN"/>
              </w:rPr>
            </w:pPr>
            <w:r>
              <w:rPr>
                <w:rFonts w:hint="eastAsia" w:eastAsia="仿宋_GB2312" w:cs="Times New Roman"/>
                <w:color w:val="000000"/>
                <w:sz w:val="24"/>
                <w:szCs w:val="24"/>
                <w:lang w:val="en-US" w:eastAsia="zh-CN"/>
              </w:rPr>
              <w:t>城市管网工程</w:t>
            </w:r>
          </w:p>
        </w:tc>
      </w:tr>
      <w:tr w14:paraId="39E17EFE">
        <w:trPr>
          <w:trHeight w:val="1002" w:hRule="atLeast"/>
          <w:jc w:val="center"/>
        </w:trPr>
        <w:tc>
          <w:tcPr>
            <w:tcW w:w="1415" w:type="pct"/>
            <w:vAlign w:val="center"/>
          </w:tcPr>
          <w:p w14:paraId="14E093B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outlineLvl w:val="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主管部门</w:t>
            </w:r>
          </w:p>
          <w:p w14:paraId="0672759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outlineLvl w:val="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（或主要投资方）</w:t>
            </w:r>
          </w:p>
        </w:tc>
        <w:tc>
          <w:tcPr>
            <w:tcW w:w="2473" w:type="pct"/>
            <w:vAlign w:val="center"/>
          </w:tcPr>
          <w:p w14:paraId="49D1F44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outlineLvl w:val="0"/>
              <w:rPr>
                <w:rFonts w:hint="default" w:ascii="Times New Roman" w:hAnsi="Times New Roman" w:eastAsia="仿宋_GB2312" w:cs="Times New Roman"/>
                <w:color w:val="000000"/>
                <w:sz w:val="24"/>
                <w:szCs w:val="24"/>
                <w:lang w:eastAsia="zh-CN"/>
              </w:rPr>
            </w:pPr>
            <w:r>
              <w:rPr>
                <w:rFonts w:hint="eastAsia" w:eastAsia="仿宋_GB2312" w:cs="Times New Roman"/>
                <w:sz w:val="24"/>
                <w:highlight w:val="none"/>
                <w:lang w:eastAsia="zh-CN"/>
              </w:rPr>
              <w:t>天津市西青区住房和建设委员会</w:t>
            </w:r>
          </w:p>
        </w:tc>
        <w:tc>
          <w:tcPr>
            <w:tcW w:w="431" w:type="pct"/>
            <w:vAlign w:val="center"/>
          </w:tcPr>
          <w:p w14:paraId="317A320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outlineLvl w:val="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项目</w:t>
            </w:r>
          </w:p>
          <w:p w14:paraId="5A54400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outlineLvl w:val="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性质</w:t>
            </w:r>
          </w:p>
        </w:tc>
        <w:tc>
          <w:tcPr>
            <w:tcW w:w="680" w:type="pct"/>
            <w:vAlign w:val="center"/>
          </w:tcPr>
          <w:p w14:paraId="192644C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outlineLvl w:val="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新建</w:t>
            </w:r>
          </w:p>
          <w:p w14:paraId="1CBB378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outlineLvl w:val="0"/>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sz w:val="24"/>
                <w:highlight w:val="none"/>
                <w:lang w:eastAsia="zh-CN"/>
              </w:rPr>
              <w:t>工程</w:t>
            </w:r>
          </w:p>
        </w:tc>
      </w:tr>
      <w:tr w14:paraId="6EC2945D">
        <w:trPr>
          <w:trHeight w:val="975" w:hRule="atLeast"/>
          <w:jc w:val="center"/>
        </w:trPr>
        <w:tc>
          <w:tcPr>
            <w:tcW w:w="1415" w:type="pct"/>
            <w:vAlign w:val="center"/>
          </w:tcPr>
          <w:p w14:paraId="6626D0B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outlineLvl w:val="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水土保持方案批复机关、文号及时间</w:t>
            </w:r>
          </w:p>
        </w:tc>
        <w:tc>
          <w:tcPr>
            <w:tcW w:w="3584" w:type="pct"/>
            <w:gridSpan w:val="3"/>
            <w:vAlign w:val="center"/>
          </w:tcPr>
          <w:p w14:paraId="5E4F809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outlineLvl w:val="0"/>
              <w:rPr>
                <w:rFonts w:hint="eastAsia" w:ascii="Times New Roman" w:hAnsi="Times New Roman" w:eastAsia="仿宋_GB2312" w:cs="Times New Roman"/>
                <w:sz w:val="24"/>
                <w:highlight w:val="none"/>
                <w:lang w:val="en-US" w:eastAsia="zh-CN"/>
              </w:rPr>
            </w:pPr>
            <w:r>
              <w:rPr>
                <w:rFonts w:hint="eastAsia" w:ascii="Times New Roman" w:hAnsi="Times New Roman" w:eastAsia="仿宋_GB2312" w:cs="Times New Roman"/>
                <w:sz w:val="24"/>
                <w:highlight w:val="none"/>
                <w:lang w:val="en-US" w:eastAsia="zh-CN"/>
              </w:rPr>
              <w:t>天津市水务局</w:t>
            </w:r>
          </w:p>
          <w:p w14:paraId="3996146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outlineLvl w:val="0"/>
              <w:rPr>
                <w:rFonts w:hint="default" w:ascii="Times New Roman" w:hAnsi="Times New Roman" w:eastAsia="仿宋_GB2312" w:cs="Times New Roman"/>
                <w:sz w:val="24"/>
                <w:highlight w:val="none"/>
                <w:lang w:val="en-US" w:eastAsia="zh-CN"/>
              </w:rPr>
            </w:pPr>
            <w:r>
              <w:rPr>
                <w:rFonts w:hint="eastAsia" w:ascii="Times New Roman" w:hAnsi="Times New Roman" w:eastAsia="仿宋_GB2312" w:cs="Times New Roman"/>
                <w:sz w:val="24"/>
                <w:highlight w:val="none"/>
                <w:lang w:val="en-US" w:eastAsia="zh-CN"/>
              </w:rPr>
              <w:t>津水许可〔2023〕198号</w:t>
            </w:r>
            <w:r>
              <w:rPr>
                <w:rFonts w:hint="eastAsia" w:ascii="Times New Roman" w:hAnsi="Times New Roman" w:eastAsia="仿宋_GB2312" w:cs="Times New Roman"/>
                <w:sz w:val="24"/>
                <w:highlight w:val="none"/>
                <w:lang w:val="en-US" w:eastAsia="zh-CN"/>
              </w:rPr>
              <w:br w:type="textWrapping"/>
            </w:r>
            <w:r>
              <w:rPr>
                <w:rFonts w:hint="eastAsia" w:ascii="Times New Roman" w:hAnsi="Times New Roman" w:eastAsia="仿宋_GB2312" w:cs="Times New Roman"/>
                <w:sz w:val="24"/>
                <w:highlight w:val="none"/>
                <w:lang w:val="en-US" w:eastAsia="zh-CN"/>
              </w:rPr>
              <w:t>2023年4月13日</w:t>
            </w:r>
          </w:p>
        </w:tc>
      </w:tr>
      <w:tr w14:paraId="66D780EA">
        <w:trPr>
          <w:trHeight w:val="932" w:hRule="atLeast"/>
          <w:jc w:val="center"/>
        </w:trPr>
        <w:tc>
          <w:tcPr>
            <w:tcW w:w="1415" w:type="pct"/>
            <w:vAlign w:val="center"/>
          </w:tcPr>
          <w:p w14:paraId="1FF69A0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outlineLvl w:val="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水土保持方案变更批复机关、文号及时间</w:t>
            </w:r>
          </w:p>
        </w:tc>
        <w:tc>
          <w:tcPr>
            <w:tcW w:w="3584" w:type="pct"/>
            <w:gridSpan w:val="3"/>
            <w:vAlign w:val="center"/>
          </w:tcPr>
          <w:p w14:paraId="4B774BF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outlineLvl w:val="0"/>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val="en-US" w:eastAsia="zh-CN"/>
              </w:rPr>
              <w:t>\</w:t>
            </w:r>
          </w:p>
        </w:tc>
      </w:tr>
      <w:tr w14:paraId="1195ADFA">
        <w:trPr>
          <w:trHeight w:val="1011" w:hRule="atLeast"/>
          <w:jc w:val="center"/>
        </w:trPr>
        <w:tc>
          <w:tcPr>
            <w:tcW w:w="1415" w:type="pct"/>
            <w:vAlign w:val="center"/>
          </w:tcPr>
          <w:p w14:paraId="151074B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outlineLvl w:val="0"/>
              <w:rPr>
                <w:rFonts w:hint="default" w:ascii="Times New Roman" w:hAnsi="Times New Roman" w:eastAsia="仿宋_GB2312" w:cs="Times New Roman"/>
                <w:color w:val="000000"/>
                <w:sz w:val="24"/>
                <w:szCs w:val="24"/>
                <w:highlight w:val="yellow"/>
              </w:rPr>
            </w:pPr>
            <w:r>
              <w:rPr>
                <w:rFonts w:hint="default" w:ascii="Times New Roman" w:hAnsi="Times New Roman" w:eastAsia="仿宋_GB2312" w:cs="Times New Roman"/>
                <w:color w:val="000000"/>
                <w:sz w:val="24"/>
                <w:szCs w:val="24"/>
                <w:highlight w:val="none"/>
              </w:rPr>
              <w:t>水土保持初步设计批复机关、文号及时间</w:t>
            </w:r>
          </w:p>
        </w:tc>
        <w:tc>
          <w:tcPr>
            <w:tcW w:w="3584" w:type="pct"/>
            <w:gridSpan w:val="3"/>
            <w:vAlign w:val="center"/>
          </w:tcPr>
          <w:p w14:paraId="2722BD1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outlineLvl w:val="0"/>
              <w:rPr>
                <w:rFonts w:hint="eastAsia" w:ascii="Times New Roman" w:hAnsi="Times New Roman" w:eastAsia="仿宋_GB2312" w:cs="Times New Roman"/>
                <w:sz w:val="24"/>
                <w:highlight w:val="none"/>
                <w:lang w:val="en-US" w:eastAsia="zh-CN"/>
              </w:rPr>
            </w:pPr>
            <w:r>
              <w:rPr>
                <w:rFonts w:hint="eastAsia" w:ascii="Times New Roman" w:hAnsi="Times New Roman" w:eastAsia="仿宋_GB2312" w:cs="Times New Roman"/>
                <w:sz w:val="24"/>
                <w:highlight w:val="none"/>
                <w:lang w:val="en-US" w:eastAsia="zh-CN"/>
              </w:rPr>
              <w:t>天津市发展和改革委员会</w:t>
            </w:r>
          </w:p>
          <w:p w14:paraId="3AED089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outlineLvl w:val="0"/>
              <w:rPr>
                <w:rFonts w:hint="eastAsia" w:ascii="Times New Roman" w:hAnsi="Times New Roman" w:eastAsia="仿宋_GB2312" w:cs="Times New Roman"/>
                <w:sz w:val="24"/>
                <w:highlight w:val="none"/>
                <w:lang w:val="en-US" w:eastAsia="zh-CN"/>
              </w:rPr>
            </w:pPr>
            <w:r>
              <w:rPr>
                <w:rFonts w:hint="eastAsia" w:ascii="Times New Roman" w:hAnsi="Times New Roman" w:eastAsia="仿宋_GB2312" w:cs="Times New Roman"/>
                <w:sz w:val="24"/>
                <w:highlight w:val="none"/>
                <w:lang w:val="en-US" w:eastAsia="zh-CN"/>
              </w:rPr>
              <w:t>津发改批复（农经）〔2022〕7号</w:t>
            </w:r>
          </w:p>
          <w:p w14:paraId="75C1716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outlineLvl w:val="0"/>
              <w:rPr>
                <w:rFonts w:hint="default" w:ascii="Times New Roman" w:hAnsi="Times New Roman" w:eastAsia="仿宋_GB2312" w:cs="Times New Roman"/>
                <w:sz w:val="24"/>
                <w:highlight w:val="none"/>
                <w:lang w:val="en-US" w:eastAsia="zh-CN"/>
              </w:rPr>
            </w:pPr>
            <w:r>
              <w:rPr>
                <w:rFonts w:hint="eastAsia" w:ascii="Times New Roman" w:hAnsi="Times New Roman" w:eastAsia="仿宋_GB2312" w:cs="Times New Roman"/>
                <w:sz w:val="24"/>
                <w:highlight w:val="none"/>
                <w:lang w:val="en-US" w:eastAsia="zh-CN"/>
              </w:rPr>
              <w:t>2022年1月27日</w:t>
            </w:r>
          </w:p>
        </w:tc>
      </w:tr>
      <w:tr w14:paraId="06BC6B66">
        <w:trPr>
          <w:trHeight w:val="1045" w:hRule="atLeast"/>
          <w:jc w:val="center"/>
        </w:trPr>
        <w:tc>
          <w:tcPr>
            <w:tcW w:w="1415" w:type="pct"/>
            <w:vAlign w:val="center"/>
          </w:tcPr>
          <w:p w14:paraId="625C133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outlineLvl w:val="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项目建设起止时间</w:t>
            </w:r>
          </w:p>
        </w:tc>
        <w:tc>
          <w:tcPr>
            <w:tcW w:w="3584" w:type="pct"/>
            <w:gridSpan w:val="3"/>
            <w:vAlign w:val="center"/>
          </w:tcPr>
          <w:p w14:paraId="3F553FC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outlineLvl w:val="0"/>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20</w:t>
            </w:r>
            <w:r>
              <w:rPr>
                <w:rFonts w:hint="eastAsia" w:ascii="Times New Roman" w:hAnsi="Times New Roman" w:eastAsia="仿宋_GB2312" w:cs="Times New Roman"/>
                <w:sz w:val="24"/>
                <w:highlight w:val="none"/>
                <w:lang w:val="en-US" w:eastAsia="zh-CN"/>
              </w:rPr>
              <w:t>24</w:t>
            </w:r>
            <w:r>
              <w:rPr>
                <w:rFonts w:hint="default" w:ascii="Times New Roman" w:hAnsi="Times New Roman" w:eastAsia="仿宋_GB2312" w:cs="Times New Roman"/>
                <w:sz w:val="24"/>
                <w:highlight w:val="none"/>
                <w:lang w:eastAsia="zh-CN"/>
              </w:rPr>
              <w:t>年</w:t>
            </w:r>
            <w:r>
              <w:rPr>
                <w:rFonts w:hint="eastAsia" w:ascii="Times New Roman" w:hAnsi="Times New Roman" w:eastAsia="仿宋_GB2312" w:cs="Times New Roman"/>
                <w:sz w:val="24"/>
                <w:highlight w:val="none"/>
                <w:lang w:val="en-US" w:eastAsia="zh-CN"/>
              </w:rPr>
              <w:t>4</w:t>
            </w:r>
            <w:r>
              <w:rPr>
                <w:rFonts w:hint="default" w:ascii="Times New Roman" w:hAnsi="Times New Roman" w:eastAsia="仿宋_GB2312" w:cs="Times New Roman"/>
                <w:sz w:val="24"/>
                <w:highlight w:val="none"/>
                <w:lang w:eastAsia="zh-CN"/>
              </w:rPr>
              <w:t>月～20</w:t>
            </w:r>
            <w:r>
              <w:rPr>
                <w:rFonts w:hint="default" w:ascii="Times New Roman" w:hAnsi="Times New Roman" w:eastAsia="仿宋_GB2312" w:cs="Times New Roman"/>
                <w:sz w:val="24"/>
                <w:highlight w:val="none"/>
                <w:lang w:val="en-US" w:eastAsia="zh-CN"/>
              </w:rPr>
              <w:t>2</w:t>
            </w:r>
            <w:r>
              <w:rPr>
                <w:rFonts w:hint="eastAsia" w:ascii="Times New Roman" w:hAnsi="Times New Roman" w:eastAsia="仿宋_GB2312" w:cs="Times New Roman"/>
                <w:sz w:val="24"/>
                <w:highlight w:val="none"/>
                <w:lang w:val="en-US" w:eastAsia="zh-CN"/>
              </w:rPr>
              <w:t>5</w:t>
            </w:r>
            <w:r>
              <w:rPr>
                <w:rFonts w:hint="default" w:ascii="Times New Roman" w:hAnsi="Times New Roman" w:eastAsia="仿宋_GB2312" w:cs="Times New Roman"/>
                <w:sz w:val="24"/>
                <w:highlight w:val="none"/>
                <w:lang w:eastAsia="zh-CN"/>
              </w:rPr>
              <w:t>年</w:t>
            </w:r>
            <w:r>
              <w:rPr>
                <w:rFonts w:hint="eastAsia" w:ascii="Times New Roman" w:hAnsi="Times New Roman" w:eastAsia="仿宋_GB2312" w:cs="Times New Roman"/>
                <w:sz w:val="24"/>
                <w:highlight w:val="none"/>
                <w:lang w:val="en-US" w:eastAsia="zh-CN"/>
              </w:rPr>
              <w:t>11</w:t>
            </w:r>
            <w:r>
              <w:rPr>
                <w:rFonts w:hint="default" w:ascii="Times New Roman" w:hAnsi="Times New Roman" w:eastAsia="仿宋_GB2312" w:cs="Times New Roman"/>
                <w:sz w:val="24"/>
                <w:highlight w:val="none"/>
                <w:lang w:eastAsia="zh-CN"/>
              </w:rPr>
              <w:t>月</w:t>
            </w:r>
          </w:p>
        </w:tc>
      </w:tr>
      <w:tr w14:paraId="5AD75EDC">
        <w:trPr>
          <w:trHeight w:val="1062" w:hRule="atLeast"/>
          <w:jc w:val="center"/>
        </w:trPr>
        <w:tc>
          <w:tcPr>
            <w:tcW w:w="1415" w:type="pct"/>
            <w:vAlign w:val="center"/>
          </w:tcPr>
          <w:p w14:paraId="00591DA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outlineLvl w:val="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水土保持方案</w:t>
            </w:r>
          </w:p>
          <w:p w14:paraId="42693EF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outlineLvl w:val="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编制单位</w:t>
            </w:r>
          </w:p>
        </w:tc>
        <w:tc>
          <w:tcPr>
            <w:tcW w:w="3584" w:type="pct"/>
            <w:gridSpan w:val="3"/>
            <w:vAlign w:val="center"/>
          </w:tcPr>
          <w:p w14:paraId="0AD3725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eastAsia="仿宋_GB2312" w:cs="Times New Roman"/>
                <w:sz w:val="24"/>
                <w:szCs w:val="24"/>
                <w:lang w:val="en-US" w:eastAsia="zh-CN"/>
              </w:rPr>
            </w:pPr>
            <w:r>
              <w:rPr>
                <w:rFonts w:hint="eastAsia" w:eastAsia="仿宋_GB2312" w:cs="Times New Roman"/>
                <w:sz w:val="24"/>
                <w:szCs w:val="24"/>
                <w:highlight w:val="none"/>
                <w:lang w:val="en-US" w:eastAsia="zh-CN"/>
              </w:rPr>
              <w:t>天津津滨国环科技发展有限公司</w:t>
            </w:r>
          </w:p>
        </w:tc>
      </w:tr>
      <w:tr w14:paraId="122AC346">
        <w:trPr>
          <w:trHeight w:val="1112" w:hRule="atLeast"/>
          <w:jc w:val="center"/>
        </w:trPr>
        <w:tc>
          <w:tcPr>
            <w:tcW w:w="1415" w:type="pct"/>
            <w:vAlign w:val="center"/>
          </w:tcPr>
          <w:p w14:paraId="2BBE2EF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outlineLvl w:val="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水土保持初步</w:t>
            </w:r>
          </w:p>
          <w:p w14:paraId="26C8F56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outlineLvl w:val="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设计单位</w:t>
            </w:r>
          </w:p>
        </w:tc>
        <w:tc>
          <w:tcPr>
            <w:tcW w:w="3584" w:type="pct"/>
            <w:gridSpan w:val="3"/>
            <w:vAlign w:val="center"/>
          </w:tcPr>
          <w:p w14:paraId="13A82C8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天津市政工程设计研究总院有限公司</w:t>
            </w:r>
          </w:p>
        </w:tc>
      </w:tr>
      <w:tr w14:paraId="6737CF8C">
        <w:trPr>
          <w:trHeight w:val="1052" w:hRule="atLeast"/>
          <w:jc w:val="center"/>
        </w:trPr>
        <w:tc>
          <w:tcPr>
            <w:tcW w:w="1415" w:type="pct"/>
            <w:vAlign w:val="center"/>
          </w:tcPr>
          <w:p w14:paraId="32A27DE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outlineLvl w:val="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水土保持监测单位</w:t>
            </w:r>
          </w:p>
        </w:tc>
        <w:tc>
          <w:tcPr>
            <w:tcW w:w="3584" w:type="pct"/>
            <w:gridSpan w:val="3"/>
            <w:vAlign w:val="center"/>
          </w:tcPr>
          <w:p w14:paraId="26EA4BA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eastAsia="仿宋_GB2312" w:cs="Times New Roman"/>
                <w:color w:val="000000"/>
                <w:sz w:val="24"/>
                <w:szCs w:val="24"/>
                <w:lang w:eastAsia="zh-CN"/>
              </w:rPr>
            </w:pPr>
            <w:r>
              <w:rPr>
                <w:rFonts w:hint="eastAsia" w:eastAsia="仿宋_GB2312" w:cs="Times New Roman"/>
                <w:sz w:val="24"/>
                <w:szCs w:val="24"/>
                <w:highlight w:val="none"/>
                <w:lang w:val="en-US" w:eastAsia="zh-CN"/>
              </w:rPr>
              <w:t>天津津滨国环科技发展有限公司</w:t>
            </w:r>
          </w:p>
        </w:tc>
      </w:tr>
      <w:tr w14:paraId="316ADD2C">
        <w:trPr>
          <w:trHeight w:val="1133" w:hRule="atLeast"/>
          <w:jc w:val="center"/>
        </w:trPr>
        <w:tc>
          <w:tcPr>
            <w:tcW w:w="1415" w:type="pct"/>
            <w:vAlign w:val="center"/>
          </w:tcPr>
          <w:p w14:paraId="23748FC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outlineLvl w:val="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水土保持施工单位</w:t>
            </w:r>
          </w:p>
        </w:tc>
        <w:tc>
          <w:tcPr>
            <w:tcW w:w="3584" w:type="pct"/>
            <w:gridSpan w:val="3"/>
            <w:vAlign w:val="center"/>
          </w:tcPr>
          <w:p w14:paraId="544BFBC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eastAsia="仿宋_GB2312" w:cs="Times New Roman"/>
                <w:color w:val="000000"/>
                <w:sz w:val="24"/>
                <w:highlight w:val="none"/>
                <w:lang w:eastAsia="zh-CN"/>
              </w:rPr>
            </w:pPr>
            <w:r>
              <w:rPr>
                <w:rFonts w:hint="eastAsia" w:ascii="Times New Roman" w:hAnsi="Times New Roman" w:eastAsia="仿宋_GB2312" w:cs="Times New Roman"/>
                <w:color w:val="000000"/>
                <w:sz w:val="24"/>
                <w:highlight w:val="none"/>
                <w:lang w:val="en-US" w:eastAsia="zh-CN"/>
              </w:rPr>
              <w:t>天津市青成自来水工程有限公司</w:t>
            </w:r>
          </w:p>
        </w:tc>
      </w:tr>
      <w:tr w14:paraId="5E5BD6F1">
        <w:trPr>
          <w:trHeight w:val="1133" w:hRule="atLeast"/>
          <w:jc w:val="center"/>
        </w:trPr>
        <w:tc>
          <w:tcPr>
            <w:tcW w:w="1415" w:type="pct"/>
            <w:vAlign w:val="center"/>
          </w:tcPr>
          <w:p w14:paraId="1CAD2AB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outlineLvl w:val="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水土保持监理单位</w:t>
            </w:r>
          </w:p>
        </w:tc>
        <w:tc>
          <w:tcPr>
            <w:tcW w:w="3584" w:type="pct"/>
            <w:gridSpan w:val="3"/>
            <w:vAlign w:val="center"/>
          </w:tcPr>
          <w:p w14:paraId="6873D27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val="en-US" w:eastAsia="zh-CN"/>
              </w:rPr>
              <w:t>天津海通工程管理有限公司</w:t>
            </w:r>
          </w:p>
        </w:tc>
      </w:tr>
      <w:tr w14:paraId="5D3A9B66">
        <w:trPr>
          <w:trHeight w:val="1148" w:hRule="atLeast"/>
          <w:jc w:val="center"/>
        </w:trPr>
        <w:tc>
          <w:tcPr>
            <w:tcW w:w="1415" w:type="pct"/>
            <w:vAlign w:val="center"/>
          </w:tcPr>
          <w:p w14:paraId="6D74C8A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outlineLvl w:val="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水土保持设施验收</w:t>
            </w:r>
          </w:p>
          <w:p w14:paraId="6CEC4BB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outlineLvl w:val="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报告编制单位</w:t>
            </w:r>
          </w:p>
        </w:tc>
        <w:tc>
          <w:tcPr>
            <w:tcW w:w="3584" w:type="pct"/>
            <w:gridSpan w:val="3"/>
            <w:vAlign w:val="center"/>
          </w:tcPr>
          <w:p w14:paraId="537E295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天津中天承邺建筑设计有限公司</w:t>
            </w:r>
          </w:p>
        </w:tc>
      </w:tr>
    </w:tbl>
    <w:p w14:paraId="052C725D">
      <w:pPr>
        <w:pStyle w:val="3"/>
        <w:ind w:left="0" w:leftChars="0" w:firstLine="0" w:firstLineChars="0"/>
        <w:jc w:val="center"/>
        <w:rPr>
          <w:rFonts w:hint="default" w:ascii="Times New Roman" w:hAnsi="Times New Roman" w:eastAsia="宋体" w:cs="Times New Roman"/>
          <w:b/>
          <w:sz w:val="32"/>
          <w:szCs w:val="32"/>
          <w:highlight w:val="none"/>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486C1194">
      <w:pP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二、验收意见</w:t>
      </w:r>
    </w:p>
    <w:tbl>
      <w:tblPr>
        <w:tblStyle w:val="13"/>
        <w:tblW w:w="8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3"/>
      </w:tblGrid>
      <w:tr w14:paraId="16C14FAA">
        <w:trPr>
          <w:trHeight w:val="12604" w:hRule="atLeast"/>
          <w:jc w:val="center"/>
        </w:trPr>
        <w:tc>
          <w:tcPr>
            <w:tcW w:w="8913" w:type="dxa"/>
          </w:tcPr>
          <w:p w14:paraId="39211AEE">
            <w:pPr>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bCs/>
                <w:sz w:val="30"/>
                <w:szCs w:val="30"/>
                <w:highlight w:val="none"/>
              </w:rPr>
              <w:t>根据《水利部关于加强事中事后监管规范生产建设项目水土保持设施自主验收的通知》（水保[2017]365号）和《天津市水务局关于印发进一步深化放管服改革全面加强水土保持监管实施意见的通知》（津水政服[2019]1号）等相关文件规定</w:t>
            </w:r>
            <w:r>
              <w:rPr>
                <w:rFonts w:hint="default" w:ascii="Times New Roman" w:hAnsi="Times New Roman" w:eastAsia="仿宋_GB2312" w:cs="Times New Roman"/>
                <w:bCs/>
                <w:color w:val="000000" w:themeColor="text1"/>
                <w:sz w:val="30"/>
                <w:szCs w:val="30"/>
                <w:highlight w:val="none"/>
                <w14:textFill>
                  <w14:solidFill>
                    <w14:schemeClr w14:val="tx1"/>
                  </w14:solidFill>
                </w14:textFill>
              </w:rPr>
              <w:t>，</w:t>
            </w:r>
            <w:r>
              <w:rPr>
                <w:rFonts w:hint="default" w:ascii="Times New Roman" w:hAnsi="Times New Roman" w:eastAsia="仿宋_GB2312" w:cs="Times New Roman"/>
                <w:color w:val="000000" w:themeColor="text1"/>
                <w:sz w:val="30"/>
                <w:szCs w:val="30"/>
                <w:highlight w:val="none"/>
                <w14:textFill>
                  <w14:solidFill>
                    <w14:schemeClr w14:val="tx1"/>
                  </w14:solidFill>
                </w14:textFill>
              </w:rPr>
              <w:t>20</w:t>
            </w:r>
            <w:r>
              <w:rPr>
                <w:rFonts w:hint="default" w:ascii="Times New Roman" w:hAnsi="Times New Roman" w:eastAsia="仿宋_GB2312" w:cs="Times New Roman"/>
                <w:color w:val="000000" w:themeColor="text1"/>
                <w:sz w:val="30"/>
                <w:szCs w:val="30"/>
                <w:highlight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0"/>
                <w:szCs w:val="30"/>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0"/>
                <w:szCs w:val="30"/>
                <w:highlight w:val="none"/>
                <w14:textFill>
                  <w14:solidFill>
                    <w14:schemeClr w14:val="tx1"/>
                  </w14:solidFill>
                </w14:textFill>
              </w:rPr>
              <w:t>年</w:t>
            </w:r>
            <w:r>
              <w:rPr>
                <w:rFonts w:hint="eastAsia" w:ascii="Times New Roman" w:hAnsi="Times New Roman" w:eastAsia="仿宋_GB2312" w:cs="Times New Roman"/>
                <w:color w:val="000000" w:themeColor="text1"/>
                <w:sz w:val="30"/>
                <w:szCs w:val="30"/>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0"/>
                <w:szCs w:val="30"/>
                <w:highlight w:val="none"/>
                <w14:textFill>
                  <w14:solidFill>
                    <w14:schemeClr w14:val="tx1"/>
                  </w14:solidFill>
                </w14:textFill>
              </w:rPr>
              <w:t>月</w:t>
            </w:r>
            <w:r>
              <w:rPr>
                <w:rFonts w:hint="eastAsia" w:ascii="Times New Roman" w:hAnsi="Times New Roman" w:eastAsia="仿宋_GB2312" w:cs="Times New Roman"/>
                <w:color w:val="000000" w:themeColor="text1"/>
                <w:sz w:val="30"/>
                <w:szCs w:val="30"/>
                <w:highlight w:val="none"/>
                <w:lang w:val="en-US" w:eastAsia="zh-CN"/>
                <w14:textFill>
                  <w14:solidFill>
                    <w14:schemeClr w14:val="tx1"/>
                  </w14:solidFill>
                </w14:textFill>
              </w:rPr>
              <w:t>20</w:t>
            </w:r>
            <w:r>
              <w:rPr>
                <w:rFonts w:hint="default" w:ascii="Times New Roman" w:hAnsi="Times New Roman" w:eastAsia="仿宋_GB2312" w:cs="Times New Roman"/>
                <w:color w:val="000000" w:themeColor="text1"/>
                <w:sz w:val="30"/>
                <w:szCs w:val="30"/>
                <w:highlight w:val="none"/>
                <w14:textFill>
                  <w14:solidFill>
                    <w14:schemeClr w14:val="tx1"/>
                  </w14:solidFill>
                </w14:textFill>
              </w:rPr>
              <w:t>日，</w:t>
            </w:r>
            <w:r>
              <w:rPr>
                <w:rFonts w:hint="eastAsia" w:ascii="Times New Roman" w:hAnsi="Times New Roman" w:eastAsia="仿宋_GB2312" w:cs="Times New Roman"/>
                <w:color w:val="000000" w:themeColor="text1"/>
                <w:sz w:val="30"/>
                <w:szCs w:val="30"/>
                <w:highlight w:val="none"/>
                <w:lang w:eastAsia="zh-CN"/>
                <w14:textFill>
                  <w14:solidFill>
                    <w14:schemeClr w14:val="tx1"/>
                  </w14:solidFill>
                </w14:textFill>
              </w:rPr>
              <w:t>天津市西青区住房和建设委员会</w:t>
            </w:r>
            <w:r>
              <w:rPr>
                <w:rFonts w:hint="default" w:ascii="Times New Roman" w:hAnsi="Times New Roman" w:eastAsia="仿宋_GB2312" w:cs="Times New Roman"/>
                <w:color w:val="000000" w:themeColor="text1"/>
                <w:sz w:val="30"/>
                <w:szCs w:val="30"/>
                <w:highlight w:val="none"/>
                <w14:textFill>
                  <w14:solidFill>
                    <w14:schemeClr w14:val="tx1"/>
                  </w14:solidFill>
                </w14:textFill>
              </w:rPr>
              <w:t>主持召开了</w:t>
            </w:r>
            <w:r>
              <w:rPr>
                <w:rFonts w:hint="eastAsia" w:ascii="Times New Roman" w:hAnsi="Times New Roman" w:eastAsia="仿宋_GB2312" w:cs="Times New Roman"/>
                <w:color w:val="000000" w:themeColor="text1"/>
                <w:sz w:val="30"/>
                <w:szCs w:val="30"/>
                <w:highlight w:val="none"/>
                <w:lang w:eastAsia="zh-CN"/>
                <w14:textFill>
                  <w14:solidFill>
                    <w14:schemeClr w14:val="tx1"/>
                  </w14:solidFill>
                </w14:textFill>
              </w:rPr>
              <w:t>民和道污水泵站及进出水管道工程</w:t>
            </w:r>
            <w:r>
              <w:rPr>
                <w:rFonts w:hint="default" w:ascii="Times New Roman" w:hAnsi="Times New Roman" w:eastAsia="仿宋_GB2312" w:cs="Times New Roman"/>
                <w:sz w:val="30"/>
                <w:szCs w:val="30"/>
                <w:highlight w:val="none"/>
              </w:rPr>
              <w:t>水土保持设施验收会议。参加会议的有</w:t>
            </w:r>
            <w:r>
              <w:rPr>
                <w:rFonts w:hint="eastAsia" w:ascii="Times New Roman" w:hAnsi="Times New Roman" w:eastAsia="仿宋_GB2312" w:cs="Times New Roman"/>
                <w:sz w:val="30"/>
                <w:szCs w:val="30"/>
                <w:highlight w:val="none"/>
                <w:lang w:eastAsia="zh-CN"/>
              </w:rPr>
              <w:t>天津市政工程设计研究总院有限公司、天津市青成自来水工程有限公司、</w:t>
            </w:r>
            <w:r>
              <w:rPr>
                <w:rFonts w:hint="eastAsia" w:ascii="Times New Roman" w:hAnsi="Times New Roman" w:eastAsia="仿宋_GB2312" w:cs="Times New Roman"/>
                <w:sz w:val="30"/>
                <w:szCs w:val="30"/>
                <w:highlight w:val="none"/>
                <w:lang w:val="en-US" w:eastAsia="zh-CN"/>
              </w:rPr>
              <w:t>天津海通工程管理有限公司、天津津滨国环科技发展有限公司以及天津中天承邺建筑设计有限公司</w:t>
            </w:r>
            <w:r>
              <w:rPr>
                <w:rFonts w:hint="default" w:ascii="Times New Roman" w:hAnsi="Times New Roman" w:eastAsia="仿宋_GB2312" w:cs="Times New Roman"/>
                <w:bCs/>
                <w:sz w:val="30"/>
                <w:szCs w:val="30"/>
                <w:highlight w:val="none"/>
              </w:rPr>
              <w:t>等单位的代表及特邀专家，会议成立了验收组（名单附后）。</w:t>
            </w:r>
          </w:p>
          <w:p w14:paraId="67161541">
            <w:pPr>
              <w:ind w:firstLine="600" w:firstLineChars="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sz w:val="30"/>
                <w:szCs w:val="30"/>
                <w:highlight w:val="none"/>
              </w:rPr>
              <w:t>验收组查看了项目区水土保持设施建设和管理情况，听取了水土保持方案编制、</w:t>
            </w:r>
            <w:r>
              <w:rPr>
                <w:rFonts w:hint="eastAsia" w:ascii="Times New Roman" w:hAnsi="Times New Roman" w:eastAsia="仿宋_GB2312" w:cs="Times New Roman"/>
                <w:sz w:val="30"/>
                <w:szCs w:val="30"/>
                <w:highlight w:val="none"/>
                <w:lang w:val="en-US" w:eastAsia="zh-CN"/>
              </w:rPr>
              <w:t>设计、</w:t>
            </w:r>
            <w:r>
              <w:rPr>
                <w:rFonts w:hint="default" w:ascii="Times New Roman" w:hAnsi="Times New Roman" w:eastAsia="仿宋_GB2312" w:cs="Times New Roman"/>
                <w:sz w:val="30"/>
                <w:szCs w:val="30"/>
                <w:highlight w:val="none"/>
              </w:rPr>
              <w:t>施工、监理、监测及验收报告编制等单位的汇报，查阅了有关技术资料，经质询、讨论，形成了对本工程水</w:t>
            </w:r>
            <w:r>
              <w:rPr>
                <w:rFonts w:hint="default" w:ascii="Times New Roman" w:hAnsi="Times New Roman" w:eastAsia="仿宋_GB2312" w:cs="Times New Roman"/>
                <w:color w:val="auto"/>
                <w:sz w:val="30"/>
                <w:szCs w:val="30"/>
                <w:highlight w:val="none"/>
              </w:rPr>
              <w:t>土保持设施验收意见。</w:t>
            </w:r>
          </w:p>
          <w:p w14:paraId="380E4CD3">
            <w:pPr>
              <w:ind w:firstLine="600" w:firstLineChars="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（一）项目概况</w:t>
            </w:r>
          </w:p>
          <w:p w14:paraId="133BC82A">
            <w:pPr>
              <w:ind w:firstLine="600" w:firstLineChars="200"/>
              <w:rPr>
                <w:rFonts w:hint="default" w:ascii="Times New Roman" w:hAnsi="Times New Roman" w:eastAsia="仿宋_GB2312" w:cs="Times New Roman"/>
                <w:color w:val="auto"/>
                <w:sz w:val="30"/>
                <w:szCs w:val="30"/>
                <w:highlight w:val="none"/>
              </w:rPr>
            </w:pPr>
            <w:r>
              <w:rPr>
                <w:rFonts w:hint="eastAsia" w:ascii="Times New Roman" w:hAnsi="Times New Roman" w:eastAsia="仿宋_GB2312" w:cs="Times New Roman"/>
                <w:color w:val="auto"/>
                <w:sz w:val="30"/>
                <w:szCs w:val="30"/>
                <w:highlight w:val="none"/>
                <w:lang w:val="en-US" w:eastAsia="zh-CN"/>
              </w:rPr>
              <w:t>民和道污水泵站及进出水管道工程</w:t>
            </w:r>
            <w:r>
              <w:rPr>
                <w:rFonts w:hint="default" w:ascii="Times New Roman" w:hAnsi="Times New Roman" w:eastAsia="仿宋_GB2312" w:cs="Times New Roman"/>
                <w:color w:val="auto"/>
                <w:sz w:val="30"/>
                <w:szCs w:val="30"/>
                <w:highlight w:val="none"/>
                <w:lang w:val="en-US" w:eastAsia="zh-CN"/>
              </w:rPr>
              <w:t>位于天津市</w:t>
            </w:r>
            <w:r>
              <w:rPr>
                <w:rFonts w:hint="eastAsia" w:ascii="Times New Roman" w:hAnsi="Times New Roman" w:eastAsia="仿宋_GB2312" w:cs="Times New Roman"/>
                <w:color w:val="auto"/>
                <w:sz w:val="30"/>
                <w:szCs w:val="30"/>
                <w:highlight w:val="none"/>
                <w:lang w:val="en-US" w:eastAsia="zh-CN"/>
              </w:rPr>
              <w:t>西青区大寺镇津港公路与民和道交口处</w:t>
            </w:r>
            <w:r>
              <w:rPr>
                <w:rFonts w:hint="default"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0"/>
                <w:szCs w:val="30"/>
                <w:highlight w:val="none"/>
                <w:lang w:val="en-US" w:eastAsia="zh-CN"/>
              </w:rPr>
              <w:t>项目</w:t>
            </w:r>
            <w:r>
              <w:rPr>
                <w:rFonts w:hint="default" w:ascii="Times New Roman" w:hAnsi="Times New Roman" w:eastAsia="仿宋_GB2312" w:cs="Times New Roman"/>
                <w:color w:val="auto"/>
                <w:sz w:val="30"/>
                <w:szCs w:val="30"/>
                <w:highlight w:val="none"/>
                <w:lang w:val="en-US" w:eastAsia="zh-CN"/>
              </w:rPr>
              <w:t>主要建设内容包括</w:t>
            </w:r>
            <w:r>
              <w:rPr>
                <w:rFonts w:hint="eastAsia" w:ascii="Times New Roman" w:hAnsi="Times New Roman" w:eastAsia="仿宋_GB2312" w:cs="Times New Roman"/>
                <w:color w:val="auto"/>
                <w:sz w:val="30"/>
                <w:szCs w:val="30"/>
                <w:highlight w:val="none"/>
                <w:lang w:val="en-US" w:eastAsia="zh-CN"/>
              </w:rPr>
              <w:t>新建民和道污水泵站1座，附属用房1座，消防回车场、配套绿化工程和进出水管线</w:t>
            </w:r>
            <w:r>
              <w:rPr>
                <w:rFonts w:hint="default" w:ascii="Times New Roman" w:hAnsi="Times New Roman" w:eastAsia="仿宋_GB2312" w:cs="Times New Roman"/>
                <w:color w:val="auto"/>
                <w:sz w:val="30"/>
                <w:szCs w:val="30"/>
                <w:highlight w:val="none"/>
                <w:lang w:val="en-US" w:eastAsia="zh-CN"/>
              </w:rPr>
              <w:t>。项目</w:t>
            </w:r>
            <w:r>
              <w:rPr>
                <w:rFonts w:hint="eastAsia" w:ascii="Times New Roman" w:hAnsi="Times New Roman" w:eastAsia="仿宋_GB2312" w:cs="Times New Roman"/>
                <w:color w:val="auto"/>
                <w:sz w:val="30"/>
                <w:szCs w:val="30"/>
                <w:highlight w:val="none"/>
                <w:lang w:val="en-US" w:eastAsia="zh-CN"/>
              </w:rPr>
              <w:t>实际</w:t>
            </w:r>
            <w:r>
              <w:rPr>
                <w:rFonts w:hint="default" w:ascii="Times New Roman" w:hAnsi="Times New Roman" w:eastAsia="仿宋_GB2312" w:cs="Times New Roman"/>
                <w:color w:val="auto"/>
                <w:sz w:val="30"/>
                <w:szCs w:val="30"/>
                <w:highlight w:val="none"/>
                <w:lang w:val="en-US" w:eastAsia="zh-CN"/>
              </w:rPr>
              <w:t>占地总面积</w:t>
            </w:r>
            <w:r>
              <w:rPr>
                <w:rFonts w:hint="eastAsia" w:ascii="Times New Roman" w:hAnsi="Times New Roman" w:eastAsia="仿宋_GB2312" w:cs="Times New Roman"/>
                <w:color w:val="auto"/>
                <w:sz w:val="30"/>
                <w:szCs w:val="30"/>
                <w:highlight w:val="none"/>
                <w:lang w:val="en-US" w:eastAsia="zh-CN"/>
              </w:rPr>
              <w:t>0.74公顷</w:t>
            </w:r>
            <w:r>
              <w:rPr>
                <w:rFonts w:hint="default"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0"/>
                <w:szCs w:val="30"/>
                <w:highlight w:val="none"/>
                <w:lang w:val="en-US" w:eastAsia="zh-CN"/>
              </w:rPr>
              <w:t>其中永久占地面积0.14公顷，临时占地面积0.60公顷，</w:t>
            </w:r>
            <w:r>
              <w:rPr>
                <w:rFonts w:hint="default" w:ascii="Times New Roman" w:hAnsi="Times New Roman" w:eastAsia="仿宋_GB2312" w:cs="Times New Roman"/>
                <w:color w:val="auto"/>
                <w:sz w:val="30"/>
                <w:szCs w:val="30"/>
                <w:highlight w:val="none"/>
              </w:rPr>
              <w:t>土石方</w:t>
            </w:r>
            <w:r>
              <w:rPr>
                <w:rFonts w:hint="eastAsia" w:ascii="Times New Roman" w:hAnsi="Times New Roman" w:eastAsia="仿宋_GB2312" w:cs="Times New Roman"/>
                <w:color w:val="auto"/>
                <w:sz w:val="30"/>
                <w:szCs w:val="30"/>
                <w:highlight w:val="none"/>
                <w:lang w:val="en-US" w:eastAsia="zh-CN"/>
              </w:rPr>
              <w:t>实际</w:t>
            </w:r>
            <w:r>
              <w:rPr>
                <w:rFonts w:hint="default" w:ascii="Times New Roman" w:hAnsi="Times New Roman" w:eastAsia="仿宋_GB2312" w:cs="Times New Roman"/>
                <w:color w:val="auto"/>
                <w:sz w:val="30"/>
                <w:szCs w:val="30"/>
                <w:highlight w:val="none"/>
              </w:rPr>
              <w:t>挖填总量为</w:t>
            </w:r>
            <w:r>
              <w:rPr>
                <w:rFonts w:hint="eastAsia" w:ascii="Times New Roman" w:hAnsi="Times New Roman" w:eastAsia="仿宋_GB2312" w:cs="Times New Roman"/>
                <w:color w:val="auto"/>
                <w:sz w:val="30"/>
                <w:szCs w:val="30"/>
                <w:highlight w:val="none"/>
                <w:lang w:val="en-US" w:eastAsia="zh-CN"/>
              </w:rPr>
              <w:t>1.48万立方米</w:t>
            </w:r>
            <w:r>
              <w:rPr>
                <w:rFonts w:hint="default" w:ascii="Times New Roman" w:hAnsi="Times New Roman" w:eastAsia="仿宋_GB2312" w:cs="Times New Roman"/>
                <w:color w:val="auto"/>
                <w:sz w:val="30"/>
                <w:szCs w:val="30"/>
                <w:highlight w:val="none"/>
              </w:rPr>
              <w:t>。</w:t>
            </w:r>
            <w:r>
              <w:rPr>
                <w:rFonts w:hint="default" w:ascii="Times New Roman" w:hAnsi="Times New Roman" w:eastAsia="仿宋_GB2312" w:cs="Times New Roman"/>
                <w:color w:val="auto"/>
                <w:sz w:val="30"/>
                <w:szCs w:val="30"/>
                <w:highlight w:val="none"/>
                <w:lang w:val="en-US" w:eastAsia="zh-CN"/>
              </w:rPr>
              <w:t>项目总投资为</w:t>
            </w:r>
            <w:r>
              <w:rPr>
                <w:rFonts w:hint="eastAsia" w:ascii="Times New Roman" w:hAnsi="Times New Roman" w:eastAsia="仿宋_GB2312" w:cs="Times New Roman"/>
                <w:color w:val="auto"/>
                <w:sz w:val="30"/>
                <w:szCs w:val="30"/>
                <w:highlight w:val="none"/>
                <w:lang w:val="en-US" w:eastAsia="zh-CN"/>
              </w:rPr>
              <w:t>5063.68</w:t>
            </w:r>
            <w:r>
              <w:rPr>
                <w:rFonts w:hint="default" w:ascii="Times New Roman" w:hAnsi="Times New Roman" w:eastAsia="仿宋_GB2312" w:cs="Times New Roman"/>
                <w:color w:val="auto"/>
                <w:sz w:val="30"/>
                <w:szCs w:val="30"/>
                <w:highlight w:val="none"/>
                <w:lang w:val="en-US" w:eastAsia="zh-CN"/>
              </w:rPr>
              <w:t>万元，其中土建投资为</w:t>
            </w:r>
            <w:r>
              <w:rPr>
                <w:rFonts w:hint="eastAsia" w:ascii="Times New Roman" w:hAnsi="Times New Roman" w:eastAsia="仿宋_GB2312" w:cs="Times New Roman"/>
                <w:color w:val="auto"/>
                <w:sz w:val="30"/>
                <w:szCs w:val="30"/>
                <w:highlight w:val="none"/>
                <w:lang w:val="en-US" w:eastAsia="zh-CN"/>
              </w:rPr>
              <w:t>3544.58</w:t>
            </w:r>
            <w:r>
              <w:rPr>
                <w:rFonts w:hint="default" w:ascii="Times New Roman" w:hAnsi="Times New Roman" w:eastAsia="仿宋_GB2312" w:cs="Times New Roman"/>
                <w:color w:val="auto"/>
                <w:sz w:val="30"/>
                <w:szCs w:val="30"/>
                <w:highlight w:val="none"/>
                <w:lang w:val="en-US" w:eastAsia="zh-CN"/>
              </w:rPr>
              <w:t>万元。本项</w:t>
            </w:r>
            <w:r>
              <w:rPr>
                <w:rFonts w:hint="default" w:ascii="Times New Roman" w:hAnsi="Times New Roman" w:eastAsia="仿宋_GB2312" w:cs="Times New Roman"/>
                <w:color w:val="auto"/>
                <w:sz w:val="30"/>
                <w:szCs w:val="30"/>
                <w:highlight w:val="none"/>
              </w:rPr>
              <w:t>目于20</w:t>
            </w:r>
            <w:r>
              <w:rPr>
                <w:rFonts w:hint="eastAsia" w:ascii="Times New Roman" w:hAnsi="Times New Roman" w:eastAsia="仿宋_GB2312" w:cs="Times New Roman"/>
                <w:color w:val="auto"/>
                <w:sz w:val="30"/>
                <w:szCs w:val="30"/>
                <w:highlight w:val="none"/>
                <w:lang w:val="en-US" w:eastAsia="zh-CN"/>
              </w:rPr>
              <w:t>24</w:t>
            </w:r>
            <w:r>
              <w:rPr>
                <w:rFonts w:hint="default" w:ascii="Times New Roman" w:hAnsi="Times New Roman" w:eastAsia="仿宋_GB2312" w:cs="Times New Roman"/>
                <w:color w:val="auto"/>
                <w:sz w:val="30"/>
                <w:szCs w:val="30"/>
                <w:highlight w:val="none"/>
              </w:rPr>
              <w:t>年</w:t>
            </w:r>
            <w:r>
              <w:rPr>
                <w:rFonts w:hint="eastAsia" w:ascii="Times New Roman" w:hAnsi="Times New Roman" w:eastAsia="仿宋_GB2312" w:cs="Times New Roman"/>
                <w:color w:val="auto"/>
                <w:sz w:val="30"/>
                <w:szCs w:val="30"/>
                <w:highlight w:val="none"/>
                <w:lang w:val="en-US" w:eastAsia="zh-CN"/>
              </w:rPr>
              <w:t>4</w:t>
            </w:r>
            <w:r>
              <w:rPr>
                <w:rFonts w:hint="default" w:ascii="Times New Roman" w:hAnsi="Times New Roman" w:eastAsia="仿宋_GB2312" w:cs="Times New Roman"/>
                <w:color w:val="auto"/>
                <w:sz w:val="30"/>
                <w:szCs w:val="30"/>
                <w:highlight w:val="none"/>
              </w:rPr>
              <w:t>月开工，于20</w:t>
            </w:r>
            <w:r>
              <w:rPr>
                <w:rFonts w:hint="default" w:ascii="Times New Roman" w:hAnsi="Times New Roman" w:eastAsia="仿宋_GB2312" w:cs="Times New Roman"/>
                <w:color w:val="auto"/>
                <w:sz w:val="30"/>
                <w:szCs w:val="30"/>
                <w:highlight w:val="none"/>
                <w:lang w:val="en-US" w:eastAsia="zh-CN"/>
              </w:rPr>
              <w:t>2</w:t>
            </w:r>
            <w:r>
              <w:rPr>
                <w:rFonts w:hint="eastAsia" w:ascii="Times New Roman" w:hAnsi="Times New Roman" w:eastAsia="仿宋_GB2312" w:cs="Times New Roman"/>
                <w:color w:val="auto"/>
                <w:sz w:val="30"/>
                <w:szCs w:val="30"/>
                <w:highlight w:val="none"/>
                <w:lang w:val="en-US" w:eastAsia="zh-CN"/>
              </w:rPr>
              <w:t>5</w:t>
            </w:r>
            <w:r>
              <w:rPr>
                <w:rFonts w:hint="default" w:ascii="Times New Roman" w:hAnsi="Times New Roman" w:eastAsia="仿宋_GB2312" w:cs="Times New Roman"/>
                <w:color w:val="auto"/>
                <w:sz w:val="30"/>
                <w:szCs w:val="30"/>
                <w:highlight w:val="none"/>
              </w:rPr>
              <w:t>年</w:t>
            </w:r>
            <w:r>
              <w:rPr>
                <w:rFonts w:hint="eastAsia" w:ascii="Times New Roman" w:hAnsi="Times New Roman" w:eastAsia="仿宋_GB2312" w:cs="Times New Roman"/>
                <w:color w:val="auto"/>
                <w:sz w:val="30"/>
                <w:szCs w:val="30"/>
                <w:highlight w:val="none"/>
                <w:lang w:val="en-US" w:eastAsia="zh-CN"/>
              </w:rPr>
              <w:t>11</w:t>
            </w:r>
            <w:r>
              <w:rPr>
                <w:rFonts w:hint="default" w:ascii="Times New Roman" w:hAnsi="Times New Roman" w:eastAsia="仿宋_GB2312" w:cs="Times New Roman"/>
                <w:color w:val="auto"/>
                <w:sz w:val="30"/>
                <w:szCs w:val="30"/>
                <w:highlight w:val="none"/>
              </w:rPr>
              <w:t>月完工，总工期</w:t>
            </w:r>
            <w:r>
              <w:rPr>
                <w:rFonts w:hint="eastAsia" w:ascii="Times New Roman" w:hAnsi="Times New Roman" w:eastAsia="仿宋_GB2312" w:cs="Times New Roman"/>
                <w:color w:val="auto"/>
                <w:sz w:val="30"/>
                <w:szCs w:val="30"/>
                <w:highlight w:val="none"/>
                <w:lang w:val="en-US" w:eastAsia="zh-CN"/>
              </w:rPr>
              <w:t>20</w:t>
            </w:r>
            <w:r>
              <w:rPr>
                <w:rFonts w:hint="default" w:ascii="Times New Roman" w:hAnsi="Times New Roman" w:eastAsia="仿宋_GB2312" w:cs="Times New Roman"/>
                <w:color w:val="auto"/>
                <w:sz w:val="30"/>
                <w:szCs w:val="30"/>
                <w:highlight w:val="none"/>
              </w:rPr>
              <w:t>个月。</w:t>
            </w:r>
          </w:p>
          <w:p w14:paraId="0D24DF63">
            <w:pPr>
              <w:ind w:firstLine="600" w:firstLineChars="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（二）水土保持方案批复情况</w:t>
            </w:r>
          </w:p>
          <w:p w14:paraId="14921A4E">
            <w:pPr>
              <w:ind w:firstLine="600" w:firstLineChars="200"/>
              <w:rPr>
                <w:rFonts w:hint="default"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天津市西青区住房和建设委员会于</w:t>
            </w:r>
            <w:r>
              <w:rPr>
                <w:rFonts w:hint="default" w:ascii="Times New Roman" w:hAnsi="Times New Roman" w:eastAsia="仿宋_GB2312" w:cs="Times New Roman"/>
                <w:color w:val="auto"/>
                <w:sz w:val="30"/>
                <w:szCs w:val="30"/>
                <w:highlight w:val="none"/>
                <w:lang w:val="en-US" w:eastAsia="zh-CN"/>
              </w:rPr>
              <w:t>20</w:t>
            </w:r>
            <w:r>
              <w:rPr>
                <w:rFonts w:hint="eastAsia" w:ascii="Times New Roman" w:hAnsi="Times New Roman" w:eastAsia="仿宋_GB2312" w:cs="Times New Roman"/>
                <w:color w:val="auto"/>
                <w:sz w:val="30"/>
                <w:szCs w:val="30"/>
                <w:highlight w:val="none"/>
                <w:lang w:val="en-US" w:eastAsia="zh-CN"/>
              </w:rPr>
              <w:t>23</w:t>
            </w:r>
            <w:r>
              <w:rPr>
                <w:rFonts w:hint="default" w:ascii="Times New Roman" w:hAnsi="Times New Roman" w:eastAsia="仿宋_GB2312" w:cs="Times New Roman"/>
                <w:color w:val="auto"/>
                <w:sz w:val="30"/>
                <w:szCs w:val="30"/>
                <w:highlight w:val="none"/>
                <w:lang w:val="en-US" w:eastAsia="zh-CN"/>
              </w:rPr>
              <w:t>年</w:t>
            </w:r>
            <w:r>
              <w:rPr>
                <w:rFonts w:hint="eastAsia" w:ascii="Times New Roman" w:hAnsi="Times New Roman" w:eastAsia="仿宋_GB2312" w:cs="Times New Roman"/>
                <w:color w:val="auto"/>
                <w:sz w:val="30"/>
                <w:szCs w:val="30"/>
                <w:highlight w:val="none"/>
                <w:lang w:val="en-US" w:eastAsia="zh-CN"/>
              </w:rPr>
              <w:t>2</w:t>
            </w:r>
            <w:r>
              <w:rPr>
                <w:rFonts w:hint="default" w:ascii="Times New Roman" w:hAnsi="Times New Roman" w:eastAsia="仿宋_GB2312" w:cs="Times New Roman"/>
                <w:color w:val="auto"/>
                <w:sz w:val="30"/>
                <w:szCs w:val="30"/>
                <w:highlight w:val="none"/>
                <w:lang w:val="en-US" w:eastAsia="zh-CN"/>
              </w:rPr>
              <w:t>月</w:t>
            </w:r>
            <w:r>
              <w:rPr>
                <w:rFonts w:hint="eastAsia" w:ascii="Times New Roman" w:hAnsi="Times New Roman" w:eastAsia="仿宋_GB2312" w:cs="Times New Roman"/>
                <w:color w:val="auto"/>
                <w:sz w:val="30"/>
                <w:szCs w:val="30"/>
                <w:highlight w:val="none"/>
                <w:lang w:val="en-US" w:eastAsia="zh-CN"/>
              </w:rPr>
              <w:t>委托天津津滨国环科技发展有限公司编制本项目的水土保持方案报告表。编制单位于2023年3月编制完成了《民和道污水泵站及进出水管道工程水土保持方案表》（报批稿）</w:t>
            </w:r>
            <w:r>
              <w:rPr>
                <w:rFonts w:hint="default" w:ascii="Times New Roman" w:hAnsi="Times New Roman" w:eastAsia="仿宋_GB2312" w:cs="Times New Roman"/>
                <w:color w:val="auto"/>
                <w:sz w:val="30"/>
                <w:szCs w:val="30"/>
                <w:highlight w:val="none"/>
                <w:lang w:val="en-US" w:eastAsia="zh-CN"/>
              </w:rPr>
              <w:t>。202</w:t>
            </w:r>
            <w:r>
              <w:rPr>
                <w:rFonts w:hint="eastAsia" w:ascii="Times New Roman" w:hAnsi="Times New Roman" w:eastAsia="仿宋_GB2312" w:cs="Times New Roman"/>
                <w:color w:val="auto"/>
                <w:sz w:val="30"/>
                <w:szCs w:val="30"/>
                <w:highlight w:val="none"/>
                <w:lang w:val="en-US" w:eastAsia="zh-CN"/>
              </w:rPr>
              <w:t>3</w:t>
            </w:r>
            <w:r>
              <w:rPr>
                <w:rFonts w:hint="default" w:ascii="Times New Roman" w:hAnsi="Times New Roman" w:eastAsia="仿宋_GB2312" w:cs="Times New Roman"/>
                <w:color w:val="auto"/>
                <w:sz w:val="30"/>
                <w:szCs w:val="30"/>
                <w:highlight w:val="none"/>
                <w:lang w:val="en-US" w:eastAsia="zh-CN"/>
              </w:rPr>
              <w:t>年</w:t>
            </w:r>
            <w:r>
              <w:rPr>
                <w:rFonts w:hint="eastAsia" w:ascii="Times New Roman" w:hAnsi="Times New Roman" w:eastAsia="仿宋_GB2312" w:cs="Times New Roman"/>
                <w:color w:val="auto"/>
                <w:sz w:val="30"/>
                <w:szCs w:val="30"/>
                <w:highlight w:val="none"/>
                <w:lang w:val="en-US" w:eastAsia="zh-CN"/>
              </w:rPr>
              <w:t>4</w:t>
            </w:r>
            <w:r>
              <w:rPr>
                <w:rFonts w:hint="default" w:ascii="Times New Roman" w:hAnsi="Times New Roman" w:eastAsia="仿宋_GB2312" w:cs="Times New Roman"/>
                <w:color w:val="auto"/>
                <w:sz w:val="30"/>
                <w:szCs w:val="30"/>
                <w:highlight w:val="none"/>
                <w:lang w:val="en-US" w:eastAsia="zh-CN"/>
              </w:rPr>
              <w:t>月</w:t>
            </w:r>
            <w:r>
              <w:rPr>
                <w:rFonts w:hint="eastAsia" w:ascii="Times New Roman" w:hAnsi="Times New Roman" w:eastAsia="仿宋_GB2312" w:cs="Times New Roman"/>
                <w:color w:val="auto"/>
                <w:sz w:val="30"/>
                <w:szCs w:val="30"/>
                <w:highlight w:val="none"/>
                <w:lang w:val="en-US" w:eastAsia="zh-CN"/>
              </w:rPr>
              <w:t>13</w:t>
            </w:r>
            <w:r>
              <w:rPr>
                <w:rFonts w:hint="default" w:ascii="Times New Roman" w:hAnsi="Times New Roman" w:eastAsia="仿宋_GB2312" w:cs="Times New Roman"/>
                <w:color w:val="auto"/>
                <w:sz w:val="30"/>
                <w:szCs w:val="30"/>
                <w:highlight w:val="none"/>
                <w:lang w:val="en-US" w:eastAsia="zh-CN"/>
              </w:rPr>
              <w:t>日，</w:t>
            </w:r>
            <w:r>
              <w:rPr>
                <w:rFonts w:hint="eastAsia" w:ascii="Times New Roman" w:hAnsi="Times New Roman" w:eastAsia="仿宋_GB2312" w:cs="Times New Roman"/>
                <w:color w:val="auto"/>
                <w:sz w:val="30"/>
                <w:szCs w:val="30"/>
                <w:highlight w:val="none"/>
                <w:lang w:val="en-US" w:eastAsia="zh-CN"/>
              </w:rPr>
              <w:t>天津市水务局</w:t>
            </w:r>
            <w:r>
              <w:rPr>
                <w:rFonts w:hint="default" w:ascii="Times New Roman" w:hAnsi="Times New Roman" w:eastAsia="仿宋_GB2312" w:cs="Times New Roman"/>
                <w:color w:val="auto"/>
                <w:sz w:val="30"/>
                <w:szCs w:val="30"/>
                <w:highlight w:val="none"/>
                <w:lang w:val="en-US" w:eastAsia="zh-CN"/>
              </w:rPr>
              <w:t>以《准予行政许可决定书》（</w:t>
            </w:r>
            <w:r>
              <w:rPr>
                <w:rFonts w:hint="eastAsia" w:ascii="Times New Roman" w:hAnsi="Times New Roman" w:eastAsia="仿宋_GB2312" w:cs="Times New Roman"/>
                <w:color w:val="auto"/>
                <w:sz w:val="30"/>
                <w:szCs w:val="30"/>
                <w:highlight w:val="none"/>
                <w:lang w:val="en-US" w:eastAsia="zh-CN"/>
              </w:rPr>
              <w:t>津水许可〔2023〕198号</w:t>
            </w:r>
            <w:r>
              <w:rPr>
                <w:rFonts w:hint="default" w:ascii="Times New Roman" w:hAnsi="Times New Roman" w:eastAsia="仿宋_GB2312" w:cs="Times New Roman"/>
                <w:color w:val="auto"/>
                <w:sz w:val="30"/>
                <w:szCs w:val="30"/>
                <w:highlight w:val="none"/>
                <w:lang w:val="en-US" w:eastAsia="zh-CN"/>
              </w:rPr>
              <w:t>）对本项目水土保持方案报告</w:t>
            </w:r>
            <w:r>
              <w:rPr>
                <w:rFonts w:hint="eastAsia" w:ascii="Times New Roman" w:hAnsi="Times New Roman" w:eastAsia="仿宋_GB2312" w:cs="Times New Roman"/>
                <w:color w:val="auto"/>
                <w:sz w:val="30"/>
                <w:szCs w:val="30"/>
                <w:highlight w:val="none"/>
                <w:lang w:val="en-US" w:eastAsia="zh-CN"/>
              </w:rPr>
              <w:t>表</w:t>
            </w:r>
            <w:r>
              <w:rPr>
                <w:rFonts w:hint="default" w:ascii="Times New Roman" w:hAnsi="Times New Roman" w:eastAsia="仿宋_GB2312" w:cs="Times New Roman"/>
                <w:color w:val="auto"/>
                <w:sz w:val="30"/>
                <w:szCs w:val="30"/>
                <w:highlight w:val="none"/>
                <w:lang w:val="en-US" w:eastAsia="zh-CN"/>
              </w:rPr>
              <w:t>进行了准予许可。</w:t>
            </w:r>
          </w:p>
          <w:p w14:paraId="02299B12">
            <w:pPr>
              <w:ind w:firstLine="600" w:firstLineChars="200"/>
              <w:rPr>
                <w:rFonts w:hint="default"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根据批复的《民和道污水泵站及进出水管道工程水土保持方案表》，本项目总占地面积0.74公顷，水土流失防治责任范围0.74公顷，水土保持总投资60.18万元。水土流失治理目标：水土流失治理度95%、土壤流失控制比1.0、渣土防护率98%、表土保护率95%、林草植被恢复率97%、林草覆盖率11.36%。项目挖填方总量为1.59万立方米，其中挖方总量为0.88万立方米，填方总量为0.71万立方米，余（弃）方0.17万立方米，无借方。</w:t>
            </w:r>
          </w:p>
          <w:p w14:paraId="13CACCCF">
            <w:pPr>
              <w:ind w:firstLine="600" w:firstLineChars="200"/>
              <w:rPr>
                <w:rFonts w:hint="default"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本项目分为五个防治分区，分别是泵站工程区、管道工程区、绿化工程区、道路工程区以及临时堆土区。批复的水土保持方案中设计的工程措施、植物措施以及临时措施主要有：表土剥离0.26万立方米，表土回覆0.26万立方米，全面整地0.05公顷，平整场地0.30公顷，景观绿化工程0.05公顷，撒播草籽30千克，防尘网苫盖7400平方米，车辆冲洗池1座，临时排水沟100米，临时沉沙池2座以及临时拦挡250米。</w:t>
            </w:r>
          </w:p>
          <w:p w14:paraId="3E3C60CE">
            <w:pPr>
              <w:ind w:firstLine="600" w:firstLineChars="200"/>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本项目不涉及水土保持方案变更。</w:t>
            </w:r>
          </w:p>
          <w:p w14:paraId="54302EAE">
            <w:pPr>
              <w:ind w:firstLine="600" w:firstLineChars="200"/>
              <w:rPr>
                <w:rFonts w:hint="eastAsia" w:ascii="Times New Roman" w:hAnsi="Times New Roman" w:eastAsia="仿宋_GB2312" w:cs="Times New Roman"/>
                <w:bCs/>
                <w:color w:val="auto"/>
                <w:kern w:val="0"/>
                <w:sz w:val="30"/>
                <w:szCs w:val="30"/>
                <w:highlight w:val="none"/>
                <w:lang w:val="en-US" w:eastAsia="zh-CN"/>
              </w:rPr>
            </w:pPr>
            <w:r>
              <w:rPr>
                <w:rFonts w:hint="eastAsia" w:ascii="Times New Roman" w:hAnsi="Times New Roman" w:eastAsia="仿宋_GB2312" w:cs="Times New Roman"/>
                <w:bCs/>
                <w:color w:val="auto"/>
                <w:kern w:val="0"/>
                <w:sz w:val="30"/>
                <w:szCs w:val="30"/>
                <w:highlight w:val="none"/>
                <w:lang w:eastAsia="zh-CN"/>
              </w:rPr>
              <w:t>（</w:t>
            </w:r>
            <w:r>
              <w:rPr>
                <w:rFonts w:hint="eastAsia" w:ascii="Times New Roman" w:hAnsi="Times New Roman" w:eastAsia="仿宋_GB2312" w:cs="Times New Roman"/>
                <w:bCs/>
                <w:color w:val="auto"/>
                <w:kern w:val="0"/>
                <w:sz w:val="30"/>
                <w:szCs w:val="30"/>
                <w:highlight w:val="none"/>
                <w:lang w:val="en-US" w:eastAsia="zh-CN"/>
              </w:rPr>
              <w:t>三）水土保持初步设计或施工图设计情况</w:t>
            </w:r>
          </w:p>
          <w:p w14:paraId="75B0EEA1">
            <w:pPr>
              <w:ind w:firstLine="600" w:firstLineChars="200"/>
              <w:rPr>
                <w:rFonts w:hint="default"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2022年10月，建设单位委托天津市政工程设计研究总院有限公司作为民和道污水泵站及进出水管道工程设计单位，2022年12月，天津市政工程设计研究总院有限公司完成项目的相关设计。本项目水土保持初步设计和施工图设计均涵盖在主体工程设计中。</w:t>
            </w:r>
          </w:p>
          <w:p w14:paraId="59DEC365">
            <w:pPr>
              <w:ind w:firstLine="600" w:firstLineChars="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bCs/>
                <w:color w:val="auto"/>
                <w:kern w:val="0"/>
                <w:sz w:val="30"/>
                <w:szCs w:val="30"/>
                <w:highlight w:val="none"/>
              </w:rPr>
              <w:t>（</w:t>
            </w:r>
            <w:r>
              <w:rPr>
                <w:rFonts w:hint="eastAsia" w:ascii="Times New Roman" w:hAnsi="Times New Roman" w:eastAsia="仿宋_GB2312" w:cs="Times New Roman"/>
                <w:bCs/>
                <w:color w:val="auto"/>
                <w:kern w:val="0"/>
                <w:sz w:val="30"/>
                <w:szCs w:val="30"/>
                <w:highlight w:val="none"/>
                <w:lang w:val="en-US" w:eastAsia="zh-CN"/>
              </w:rPr>
              <w:t>四</w:t>
            </w:r>
            <w:r>
              <w:rPr>
                <w:rFonts w:hint="default" w:ascii="Times New Roman" w:hAnsi="Times New Roman" w:eastAsia="仿宋_GB2312" w:cs="Times New Roman"/>
                <w:bCs/>
                <w:color w:val="auto"/>
                <w:kern w:val="0"/>
                <w:sz w:val="30"/>
                <w:szCs w:val="30"/>
                <w:highlight w:val="none"/>
              </w:rPr>
              <w:t>）</w:t>
            </w:r>
            <w:r>
              <w:rPr>
                <w:rFonts w:hint="default" w:ascii="Times New Roman" w:hAnsi="Times New Roman" w:eastAsia="仿宋_GB2312" w:cs="Times New Roman"/>
                <w:color w:val="auto"/>
                <w:sz w:val="30"/>
                <w:szCs w:val="30"/>
                <w:highlight w:val="none"/>
              </w:rPr>
              <w:t>水土保持监测情况</w:t>
            </w:r>
          </w:p>
          <w:p w14:paraId="501CDA29">
            <w:pPr>
              <w:ind w:firstLine="600" w:firstLineChars="200"/>
              <w:rPr>
                <w:rFonts w:hint="default" w:ascii="Times New Roman" w:hAnsi="Times New Roman" w:eastAsia="仿宋_GB2312" w:cs="Times New Roman"/>
                <w:color w:val="auto"/>
                <w:sz w:val="30"/>
                <w:szCs w:val="30"/>
                <w:highlight w:val="none"/>
              </w:rPr>
            </w:pPr>
            <w:r>
              <w:rPr>
                <w:rFonts w:hint="eastAsia" w:ascii="Times New Roman" w:hAnsi="Times New Roman" w:eastAsia="仿宋_GB2312" w:cs="Times New Roman"/>
                <w:color w:val="auto"/>
                <w:sz w:val="30"/>
                <w:szCs w:val="30"/>
                <w:highlight w:val="none"/>
                <w:lang w:val="en-US" w:eastAsia="zh-CN"/>
              </w:rPr>
              <w:t>2024年4月，建设单位组织监测单位按照相关规定、规范要求开展了水土保持监测工作。2026年1月编制完成了《</w:t>
            </w:r>
            <w:r>
              <w:rPr>
                <w:rFonts w:hint="eastAsia" w:ascii="Times New Roman" w:hAnsi="Times New Roman" w:eastAsia="仿宋_GB2312" w:cs="Times New Roman"/>
                <w:bCs/>
                <w:color w:val="auto"/>
                <w:sz w:val="30"/>
                <w:szCs w:val="30"/>
                <w:highlight w:val="none"/>
                <w:lang w:eastAsia="zh-CN"/>
              </w:rPr>
              <w:t>南开区新裕里地块市政配套工程</w:t>
            </w:r>
            <w:r>
              <w:rPr>
                <w:rFonts w:hint="eastAsia" w:ascii="Times New Roman" w:hAnsi="Times New Roman" w:eastAsia="仿宋_GB2312" w:cs="Times New Roman"/>
                <w:bCs/>
                <w:color w:val="auto"/>
                <w:sz w:val="30"/>
                <w:szCs w:val="30"/>
                <w:highlight w:val="none"/>
                <w:lang w:val="en-US" w:eastAsia="zh-CN"/>
              </w:rPr>
              <w:t>水土保持监测总结报告》</w:t>
            </w:r>
            <w:r>
              <w:rPr>
                <w:rFonts w:hint="default" w:ascii="Times New Roman" w:hAnsi="Times New Roman" w:eastAsia="仿宋_GB2312" w:cs="Times New Roman"/>
                <w:color w:val="auto"/>
                <w:sz w:val="30"/>
                <w:szCs w:val="30"/>
                <w:highlight w:val="none"/>
              </w:rPr>
              <w:t>。</w:t>
            </w:r>
          </w:p>
          <w:p w14:paraId="622CF975">
            <w:pPr>
              <w:ind w:firstLine="600" w:firstLineChars="200"/>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截至监测期末，本项目实际占地面积0.74公顷，其中项目红线内占地面积为0.14公顷，属于永久占地；项目红线外占地面积为0.60公顷，属于临时占地，未新增用地，水土流失防治责任范围总面积为0.74公顷。项目实际完成水土保持总投资55.47万元，较水土保持方案所列投资减少。主要变动为工程措施费及临时措施费减少、建设管理费增加以及基本预备费实际未发生。</w:t>
            </w:r>
          </w:p>
          <w:p w14:paraId="35065907">
            <w:pPr>
              <w:ind w:firstLine="600" w:firstLineChars="200"/>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项目建设区实际</w:t>
            </w:r>
            <w:r>
              <w:rPr>
                <w:rFonts w:hint="default" w:ascii="Times New Roman" w:hAnsi="Times New Roman" w:eastAsia="仿宋_GB2312" w:cs="Times New Roman"/>
                <w:color w:val="auto"/>
                <w:sz w:val="30"/>
                <w:szCs w:val="30"/>
                <w:highlight w:val="none"/>
              </w:rPr>
              <w:t>水土流失治理度为</w:t>
            </w:r>
            <w:r>
              <w:rPr>
                <w:rFonts w:hint="eastAsia" w:ascii="Times New Roman" w:hAnsi="Times New Roman" w:eastAsia="仿宋_GB2312" w:cs="Times New Roman"/>
                <w:color w:val="auto"/>
                <w:sz w:val="30"/>
                <w:szCs w:val="30"/>
                <w:highlight w:val="none"/>
                <w:lang w:val="en-US" w:eastAsia="zh-CN"/>
              </w:rPr>
              <w:t>98.65</w:t>
            </w:r>
            <w:r>
              <w:rPr>
                <w:rFonts w:hint="default" w:ascii="Times New Roman" w:hAnsi="Times New Roman" w:eastAsia="仿宋_GB2312" w:cs="Times New Roman"/>
                <w:color w:val="auto"/>
                <w:sz w:val="30"/>
                <w:szCs w:val="30"/>
                <w:highlight w:val="none"/>
              </w:rPr>
              <w:t>%，土壤流失控制比1.</w:t>
            </w:r>
            <w:r>
              <w:rPr>
                <w:rFonts w:hint="default" w:ascii="Times New Roman" w:hAnsi="Times New Roman" w:eastAsia="仿宋_GB2312" w:cs="Times New Roman"/>
                <w:color w:val="auto"/>
                <w:sz w:val="30"/>
                <w:szCs w:val="30"/>
                <w:highlight w:val="none"/>
                <w:lang w:val="en-US" w:eastAsia="zh-CN"/>
              </w:rPr>
              <w:t>1</w:t>
            </w:r>
            <w:r>
              <w:rPr>
                <w:rFonts w:hint="default" w:ascii="Times New Roman" w:hAnsi="Times New Roman" w:eastAsia="仿宋_GB2312" w:cs="Times New Roman"/>
                <w:color w:val="auto"/>
                <w:sz w:val="30"/>
                <w:szCs w:val="30"/>
                <w:highlight w:val="none"/>
              </w:rPr>
              <w:t>，渣土防护率</w:t>
            </w:r>
            <w:r>
              <w:rPr>
                <w:rFonts w:hint="default" w:ascii="Times New Roman" w:hAnsi="Times New Roman" w:eastAsia="仿宋_GB2312" w:cs="Times New Roman"/>
                <w:color w:val="auto"/>
                <w:sz w:val="30"/>
                <w:szCs w:val="30"/>
                <w:highlight w:val="none"/>
                <w:lang w:val="en-US" w:eastAsia="zh-CN"/>
              </w:rPr>
              <w:t>为</w:t>
            </w:r>
            <w:r>
              <w:rPr>
                <w:rFonts w:hint="eastAsia" w:ascii="Times New Roman" w:hAnsi="Times New Roman" w:eastAsia="仿宋_GB2312" w:cs="Times New Roman"/>
                <w:color w:val="auto"/>
                <w:sz w:val="30"/>
                <w:szCs w:val="30"/>
                <w:highlight w:val="none"/>
                <w:lang w:val="en-US" w:eastAsia="zh-CN"/>
              </w:rPr>
              <w:t>98.89</w:t>
            </w:r>
            <w:r>
              <w:rPr>
                <w:rFonts w:hint="default"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，表土保护率</w:t>
            </w:r>
            <w:r>
              <w:rPr>
                <w:rFonts w:hint="eastAsia" w:ascii="Times New Roman" w:hAnsi="Times New Roman" w:eastAsia="仿宋_GB2312" w:cs="Times New Roman"/>
                <w:color w:val="auto"/>
                <w:sz w:val="30"/>
                <w:szCs w:val="30"/>
                <w:highlight w:val="none"/>
                <w:lang w:val="en-US" w:eastAsia="zh-CN"/>
              </w:rPr>
              <w:t>为99.99%</w:t>
            </w:r>
            <w:r>
              <w:rPr>
                <w:rFonts w:hint="default" w:ascii="Times New Roman" w:hAnsi="Times New Roman" w:eastAsia="仿宋_GB2312" w:cs="Times New Roman"/>
                <w:color w:val="auto"/>
                <w:sz w:val="30"/>
                <w:szCs w:val="30"/>
                <w:highlight w:val="none"/>
              </w:rPr>
              <w:t>，林草植被恢复率</w:t>
            </w:r>
            <w:r>
              <w:rPr>
                <w:rFonts w:hint="eastAsia" w:ascii="Times New Roman" w:hAnsi="Times New Roman" w:eastAsia="仿宋_GB2312" w:cs="Times New Roman"/>
                <w:color w:val="auto"/>
                <w:sz w:val="30"/>
                <w:szCs w:val="30"/>
                <w:highlight w:val="none"/>
                <w:lang w:val="en-US" w:eastAsia="zh-CN"/>
              </w:rPr>
              <w:t>98.00</w:t>
            </w:r>
            <w:r>
              <w:rPr>
                <w:rFonts w:hint="default" w:ascii="Times New Roman" w:hAnsi="Times New Roman" w:eastAsia="仿宋_GB2312" w:cs="Times New Roman"/>
                <w:color w:val="auto"/>
                <w:sz w:val="30"/>
                <w:szCs w:val="30"/>
                <w:highlight w:val="none"/>
                <w:lang w:val="en-US" w:eastAsia="zh-CN"/>
              </w:rPr>
              <w:t>%</w:t>
            </w:r>
            <w:r>
              <w:rPr>
                <w:rFonts w:hint="default" w:ascii="Times New Roman" w:hAnsi="Times New Roman" w:eastAsia="仿宋_GB2312" w:cs="Times New Roman"/>
                <w:color w:val="auto"/>
                <w:sz w:val="30"/>
                <w:szCs w:val="30"/>
                <w:highlight w:val="none"/>
              </w:rPr>
              <w:t>，林草覆盖率</w:t>
            </w:r>
            <w:r>
              <w:rPr>
                <w:rFonts w:hint="eastAsia" w:ascii="Times New Roman" w:hAnsi="Times New Roman" w:eastAsia="仿宋_GB2312" w:cs="Times New Roman"/>
                <w:color w:val="auto"/>
                <w:sz w:val="30"/>
                <w:szCs w:val="30"/>
                <w:highlight w:val="none"/>
                <w:lang w:val="en-US" w:eastAsia="zh-CN"/>
              </w:rPr>
              <w:t>47.30</w:t>
            </w:r>
            <w:r>
              <w:rPr>
                <w:rFonts w:hint="default"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0"/>
                <w:szCs w:val="30"/>
                <w:highlight w:val="none"/>
                <w:lang w:val="en-US" w:eastAsia="zh-CN"/>
              </w:rPr>
              <w:t>，各项水土流失防治指标全部达到或者超过批复目标值。</w:t>
            </w:r>
          </w:p>
          <w:p w14:paraId="5351C51D">
            <w:pPr>
              <w:ind w:firstLine="600" w:firstLineChars="200"/>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项目实际挖填土方总量为1.58万立方米，其中挖方总量0.79万立方米，填方0.79万立方米，无借方，无余（弃）方。</w:t>
            </w:r>
          </w:p>
          <w:p w14:paraId="7492574E">
            <w:pPr>
              <w:ind w:firstLine="600" w:firstLineChars="200"/>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本项目分为五个防治分区，分别是泵站工程区、管道工程区、绿化工程区、道路工程区以及临时堆土区，较批复无变化。</w:t>
            </w:r>
          </w:p>
          <w:p w14:paraId="2EF45CE7">
            <w:pPr>
              <w:ind w:firstLine="600" w:firstLineChars="200"/>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项目实际采取的水土保持措施包括表土剥离0.26万立方米，表土回覆0.26万立方米，全面整地0.05公顷，平整场地0.30公顷，景观绿化工程0.05公顷，撒播草籽0.30公顷，防尘网苫盖8800平方米，车辆冲洗池1座，临时排水沟80米，临时沉沙池2座以及临时拦挡250米。基本落实了水土保持方案确定的各项防治措施，水土流失防治效果明显。</w:t>
            </w:r>
          </w:p>
          <w:p w14:paraId="70040B22">
            <w:pPr>
              <w:ind w:firstLine="600" w:firstLineChars="200"/>
              <w:rPr>
                <w:rFonts w:hint="default" w:ascii="Times New Roman" w:hAnsi="Times New Roman" w:eastAsia="仿宋_GB2312" w:cs="Times New Roman"/>
                <w:color w:val="auto"/>
                <w:sz w:val="30"/>
                <w:szCs w:val="30"/>
                <w:highlight w:val="none"/>
              </w:rPr>
            </w:pPr>
            <w:r>
              <w:rPr>
                <w:rFonts w:hint="eastAsia" w:ascii="Times New Roman" w:hAnsi="Times New Roman" w:eastAsia="仿宋_GB2312" w:cs="Times New Roman"/>
                <w:color w:val="auto"/>
                <w:sz w:val="30"/>
                <w:szCs w:val="30"/>
                <w:highlight w:val="none"/>
                <w:lang w:val="en-US" w:eastAsia="zh-CN"/>
              </w:rPr>
              <w:t>监测主要结论为：工程施工期间扰动地表面积控制在水土流失防治责任范围内；工程的各类开挖、施工场地等得到了及时整治，施工过程的水土流失得到了有效控制；水土保持工程措施运行正常。实施的各项水土保持措施及时到位并发挥了有效的水土保持作用。三色评价平均得分98分，结论为绿色。</w:t>
            </w:r>
          </w:p>
          <w:p w14:paraId="78D99138">
            <w:pPr>
              <w:ind w:firstLine="600" w:firstLineChars="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w:t>
            </w:r>
            <w:r>
              <w:rPr>
                <w:rFonts w:hint="eastAsia" w:ascii="Times New Roman" w:hAnsi="Times New Roman" w:eastAsia="仿宋_GB2312" w:cs="Times New Roman"/>
                <w:color w:val="auto"/>
                <w:sz w:val="30"/>
                <w:szCs w:val="30"/>
                <w:highlight w:val="none"/>
                <w:lang w:val="en-US" w:eastAsia="zh-CN"/>
              </w:rPr>
              <w:t>五</w:t>
            </w:r>
            <w:r>
              <w:rPr>
                <w:rFonts w:hint="default" w:ascii="Times New Roman" w:hAnsi="Times New Roman" w:eastAsia="仿宋_GB2312" w:cs="Times New Roman"/>
                <w:color w:val="auto"/>
                <w:sz w:val="30"/>
                <w:szCs w:val="30"/>
                <w:highlight w:val="none"/>
              </w:rPr>
              <w:t>）验收报告编制情况和主要结论</w:t>
            </w:r>
          </w:p>
          <w:p w14:paraId="25564FED">
            <w:pPr>
              <w:ind w:firstLine="600" w:firstLineChars="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建设单位委托</w:t>
            </w:r>
            <w:r>
              <w:rPr>
                <w:rFonts w:hint="eastAsia" w:ascii="Times New Roman" w:hAnsi="Times New Roman" w:eastAsia="仿宋_GB2312" w:cs="Times New Roman"/>
                <w:color w:val="auto"/>
                <w:sz w:val="30"/>
                <w:szCs w:val="30"/>
                <w:highlight w:val="none"/>
                <w:lang w:val="en-US" w:eastAsia="zh-CN"/>
              </w:rPr>
              <w:t>天津中天承邺建筑设计有限公司担任</w:t>
            </w:r>
            <w:r>
              <w:rPr>
                <w:rFonts w:hint="default" w:ascii="Times New Roman" w:hAnsi="Times New Roman" w:eastAsia="仿宋_GB2312" w:cs="Times New Roman"/>
                <w:color w:val="auto"/>
                <w:sz w:val="30"/>
                <w:szCs w:val="30"/>
                <w:highlight w:val="none"/>
              </w:rPr>
              <w:t>本项目水土保持</w:t>
            </w:r>
            <w:r>
              <w:rPr>
                <w:rFonts w:hint="eastAsia" w:ascii="Times New Roman" w:hAnsi="Times New Roman" w:eastAsia="仿宋_GB2312" w:cs="Times New Roman"/>
                <w:color w:val="auto"/>
                <w:sz w:val="30"/>
                <w:szCs w:val="30"/>
                <w:highlight w:val="none"/>
                <w:lang w:val="en-US" w:eastAsia="zh-CN"/>
              </w:rPr>
              <w:t>设施验收</w:t>
            </w:r>
            <w:r>
              <w:rPr>
                <w:rFonts w:hint="default" w:ascii="Times New Roman" w:hAnsi="Times New Roman" w:eastAsia="仿宋_GB2312" w:cs="Times New Roman"/>
                <w:color w:val="auto"/>
                <w:sz w:val="30"/>
                <w:szCs w:val="30"/>
                <w:highlight w:val="none"/>
              </w:rPr>
              <w:t>工作。</w:t>
            </w:r>
            <w:r>
              <w:rPr>
                <w:rFonts w:hint="eastAsia" w:ascii="Times New Roman" w:hAnsi="Times New Roman" w:eastAsia="仿宋_GB2312" w:cs="Times New Roman"/>
                <w:color w:val="auto"/>
                <w:sz w:val="30"/>
                <w:szCs w:val="30"/>
                <w:highlight w:val="none"/>
                <w:lang w:val="en-US" w:eastAsia="zh-CN"/>
              </w:rPr>
              <w:t>天津中天承邺建筑设计有限公司</w:t>
            </w:r>
            <w:r>
              <w:rPr>
                <w:rFonts w:hint="default" w:ascii="Times New Roman" w:hAnsi="Times New Roman" w:eastAsia="仿宋_GB2312" w:cs="Times New Roman"/>
                <w:color w:val="auto"/>
                <w:sz w:val="30"/>
                <w:szCs w:val="30"/>
                <w:highlight w:val="none"/>
              </w:rPr>
              <w:t>通过现场核查，召开专题会，收集并查阅设计、施工</w:t>
            </w:r>
            <w:r>
              <w:rPr>
                <w:rFonts w:hint="eastAsia"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监理等相关资料，在确定水土保持措施落实、防治效果及其工作程序满足水土保持要求后，于202</w:t>
            </w:r>
            <w:r>
              <w:rPr>
                <w:rFonts w:hint="eastAsia" w:ascii="Times New Roman" w:hAnsi="Times New Roman" w:eastAsia="仿宋_GB2312" w:cs="Times New Roman"/>
                <w:color w:val="auto"/>
                <w:sz w:val="30"/>
                <w:szCs w:val="30"/>
                <w:highlight w:val="none"/>
                <w:lang w:val="en-US" w:eastAsia="zh-CN"/>
              </w:rPr>
              <w:t>6</w:t>
            </w:r>
            <w:r>
              <w:rPr>
                <w:rFonts w:hint="default" w:ascii="Times New Roman" w:hAnsi="Times New Roman" w:eastAsia="仿宋_GB2312" w:cs="Times New Roman"/>
                <w:color w:val="auto"/>
                <w:sz w:val="30"/>
                <w:szCs w:val="30"/>
                <w:highlight w:val="none"/>
              </w:rPr>
              <w:t>年</w:t>
            </w:r>
            <w:r>
              <w:rPr>
                <w:rFonts w:hint="eastAsia" w:ascii="Times New Roman" w:hAnsi="Times New Roman" w:eastAsia="仿宋_GB2312" w:cs="Times New Roman"/>
                <w:color w:val="auto"/>
                <w:sz w:val="30"/>
                <w:szCs w:val="30"/>
                <w:highlight w:val="none"/>
                <w:lang w:val="en-US" w:eastAsia="zh-CN"/>
              </w:rPr>
              <w:t>1</w:t>
            </w:r>
            <w:r>
              <w:rPr>
                <w:rFonts w:hint="default" w:ascii="Times New Roman" w:hAnsi="Times New Roman" w:eastAsia="仿宋_GB2312" w:cs="Times New Roman"/>
                <w:color w:val="auto"/>
                <w:sz w:val="30"/>
                <w:szCs w:val="30"/>
                <w:highlight w:val="none"/>
              </w:rPr>
              <w:t>月编制完成《</w:t>
            </w:r>
            <w:r>
              <w:rPr>
                <w:rFonts w:hint="eastAsia" w:ascii="Times New Roman" w:hAnsi="Times New Roman" w:eastAsia="仿宋_GB2312" w:cs="Times New Roman"/>
                <w:bCs/>
                <w:color w:val="auto"/>
                <w:sz w:val="30"/>
                <w:szCs w:val="30"/>
                <w:highlight w:val="none"/>
                <w:lang w:eastAsia="zh-CN"/>
              </w:rPr>
              <w:t>南开区新裕里地块市政配套工程</w:t>
            </w:r>
            <w:r>
              <w:rPr>
                <w:rFonts w:hint="default" w:ascii="Times New Roman" w:hAnsi="Times New Roman" w:eastAsia="仿宋_GB2312" w:cs="Times New Roman"/>
                <w:color w:val="auto"/>
                <w:sz w:val="30"/>
                <w:szCs w:val="30"/>
                <w:highlight w:val="none"/>
              </w:rPr>
              <w:t>水土保持设施验收报告》。</w:t>
            </w:r>
          </w:p>
          <w:p w14:paraId="7BF5517C">
            <w:pPr>
              <w:ind w:firstLine="600" w:firstLineChars="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水土保持设施验收报告结论为：</w:t>
            </w:r>
            <w:r>
              <w:rPr>
                <w:rFonts w:hint="eastAsia" w:ascii="Times New Roman" w:hAnsi="Times New Roman" w:eastAsia="仿宋_GB2312" w:cs="Times New Roman"/>
                <w:color w:val="auto"/>
                <w:sz w:val="30"/>
                <w:szCs w:val="30"/>
                <w:highlight w:val="none"/>
                <w:lang w:val="en-US" w:eastAsia="zh-CN"/>
              </w:rPr>
              <w:t>该工程水土保持措施布局合理，水土保持设施符合设计要求，未发现重大质量缺陷；水土流失防治指标达到水土保持方案确定的目标值。各项水土保持措施工程质量合格，运行情况良好，达到了防治水土流失的目的，满足国家对生产建设项目水土流失防治的要求，具备验收条件。</w:t>
            </w:r>
          </w:p>
          <w:p w14:paraId="3FF58348">
            <w:pPr>
              <w:ind w:firstLine="600" w:firstLineChars="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w:t>
            </w:r>
            <w:r>
              <w:rPr>
                <w:rFonts w:hint="eastAsia" w:ascii="Times New Roman" w:hAnsi="Times New Roman" w:eastAsia="仿宋_GB2312" w:cs="Times New Roman"/>
                <w:color w:val="auto"/>
                <w:sz w:val="30"/>
                <w:szCs w:val="30"/>
                <w:highlight w:val="none"/>
                <w:lang w:val="en-US" w:eastAsia="zh-CN"/>
              </w:rPr>
              <w:t>六</w:t>
            </w:r>
            <w:r>
              <w:rPr>
                <w:rFonts w:hint="default" w:ascii="Times New Roman" w:hAnsi="Times New Roman" w:eastAsia="仿宋_GB2312" w:cs="Times New Roman"/>
                <w:color w:val="auto"/>
                <w:sz w:val="30"/>
                <w:szCs w:val="30"/>
                <w:highlight w:val="none"/>
              </w:rPr>
              <w:t>）验收结论</w:t>
            </w:r>
          </w:p>
          <w:p w14:paraId="3A8AF404">
            <w:pPr>
              <w:ind w:firstLine="600" w:firstLineChars="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验收组认为：</w:t>
            </w:r>
            <w:r>
              <w:rPr>
                <w:rFonts w:hint="eastAsia" w:ascii="Times New Roman" w:hAnsi="Times New Roman" w:eastAsia="仿宋_GB2312" w:cs="Times New Roman"/>
                <w:bCs/>
                <w:color w:val="auto"/>
                <w:sz w:val="30"/>
                <w:szCs w:val="30"/>
                <w:highlight w:val="none"/>
                <w:lang w:eastAsia="zh-CN"/>
              </w:rPr>
              <w:t>民和道污水泵站及进出水管道工程</w:t>
            </w:r>
            <w:r>
              <w:rPr>
                <w:rFonts w:hint="eastAsia" w:ascii="Times New Roman" w:hAnsi="Times New Roman" w:eastAsia="仿宋_GB2312" w:cs="Times New Roman"/>
                <w:bCs/>
                <w:color w:val="auto"/>
                <w:sz w:val="30"/>
                <w:szCs w:val="30"/>
                <w:highlight w:val="none"/>
                <w:lang w:val="en-US" w:eastAsia="zh-CN"/>
              </w:rPr>
              <w:t>项目</w:t>
            </w:r>
            <w:r>
              <w:rPr>
                <w:rFonts w:hint="default" w:ascii="Times New Roman" w:hAnsi="Times New Roman" w:eastAsia="仿宋_GB2312" w:cs="Times New Roman"/>
                <w:color w:val="auto"/>
                <w:sz w:val="30"/>
                <w:szCs w:val="30"/>
                <w:highlight w:val="none"/>
              </w:rPr>
              <w:t>实施过程中，落实了各项水土保持措施，完成了水土流失预防和治理任务，水土流失防治指标达到了水土保持方案确定的目标值</w:t>
            </w:r>
            <w:r>
              <w:rPr>
                <w:rFonts w:hint="eastAsia" w:ascii="Times New Roman" w:hAnsi="Times New Roman" w:eastAsia="仿宋_GB2312" w:cs="Times New Roman"/>
                <w:color w:val="auto"/>
                <w:sz w:val="30"/>
                <w:szCs w:val="30"/>
                <w:highlight w:val="none"/>
                <w:lang w:val="en-US" w:eastAsia="zh-CN"/>
              </w:rPr>
              <w:t>，水土保持各项措施合格，</w:t>
            </w:r>
            <w:r>
              <w:rPr>
                <w:rFonts w:hint="default" w:ascii="Times New Roman" w:hAnsi="Times New Roman" w:eastAsia="仿宋_GB2312" w:cs="Times New Roman"/>
                <w:color w:val="auto"/>
                <w:sz w:val="30"/>
                <w:szCs w:val="30"/>
                <w:highlight w:val="none"/>
              </w:rPr>
              <w:t>符合水土保持设施验收的条件，同意工程水土保持设施通过验收。</w:t>
            </w:r>
          </w:p>
          <w:p w14:paraId="7BFDE590">
            <w:pPr>
              <w:ind w:firstLine="600" w:firstLineChars="200"/>
              <w:rPr>
                <w:rFonts w:hint="default" w:ascii="Times New Roman" w:hAnsi="Times New Roman" w:eastAsia="仿宋_GB2312" w:cs="Times New Roman"/>
                <w:color w:val="auto"/>
                <w:kern w:val="0"/>
                <w:sz w:val="30"/>
                <w:szCs w:val="30"/>
                <w:highlight w:val="none"/>
              </w:rPr>
            </w:pPr>
            <w:r>
              <w:rPr>
                <w:rFonts w:hint="default" w:ascii="Times New Roman" w:hAnsi="Times New Roman" w:eastAsia="仿宋_GB2312" w:cs="Times New Roman"/>
                <w:color w:val="auto"/>
                <w:kern w:val="0"/>
                <w:sz w:val="30"/>
                <w:szCs w:val="30"/>
                <w:highlight w:val="none"/>
              </w:rPr>
              <w:t>（</w:t>
            </w:r>
            <w:r>
              <w:rPr>
                <w:rFonts w:hint="eastAsia" w:ascii="Times New Roman" w:hAnsi="Times New Roman" w:eastAsia="仿宋_GB2312" w:cs="Times New Roman"/>
                <w:color w:val="auto"/>
                <w:kern w:val="0"/>
                <w:sz w:val="30"/>
                <w:szCs w:val="30"/>
                <w:highlight w:val="none"/>
                <w:lang w:val="en-US" w:eastAsia="zh-CN"/>
              </w:rPr>
              <w:t>七</w:t>
            </w:r>
            <w:r>
              <w:rPr>
                <w:rFonts w:hint="default" w:ascii="Times New Roman" w:hAnsi="Times New Roman" w:eastAsia="仿宋_GB2312" w:cs="Times New Roman"/>
                <w:color w:val="auto"/>
                <w:kern w:val="0"/>
                <w:sz w:val="30"/>
                <w:szCs w:val="30"/>
                <w:highlight w:val="none"/>
              </w:rPr>
              <w:t>）后续管护要求</w:t>
            </w:r>
          </w:p>
          <w:p w14:paraId="4C8CE43F">
            <w:pPr>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color w:val="auto"/>
                <w:sz w:val="30"/>
                <w:szCs w:val="30"/>
                <w:highlight w:val="none"/>
              </w:rPr>
              <w:t>运营管理单位</w:t>
            </w:r>
            <w:r>
              <w:rPr>
                <w:rFonts w:hint="eastAsia" w:ascii="Times New Roman" w:hAnsi="Times New Roman" w:eastAsia="仿宋_GB2312" w:cs="Times New Roman"/>
                <w:color w:val="auto"/>
                <w:sz w:val="30"/>
                <w:szCs w:val="30"/>
                <w:highlight w:val="none"/>
                <w:lang w:val="en-US" w:eastAsia="zh-CN"/>
              </w:rPr>
              <w:t>天津市西青区城市管理委员会</w:t>
            </w:r>
            <w:r>
              <w:rPr>
                <w:rFonts w:hint="default" w:ascii="Times New Roman" w:hAnsi="Times New Roman" w:eastAsia="仿宋_GB2312" w:cs="Times New Roman"/>
                <w:color w:val="auto"/>
                <w:sz w:val="30"/>
                <w:szCs w:val="30"/>
                <w:highlight w:val="none"/>
              </w:rPr>
              <w:t>在工程运行期要</w:t>
            </w:r>
            <w:r>
              <w:rPr>
                <w:rFonts w:hint="default" w:ascii="Times New Roman" w:hAnsi="Times New Roman" w:eastAsia="仿宋_GB2312" w:cs="Times New Roman"/>
                <w:bCs/>
                <w:color w:val="auto"/>
                <w:sz w:val="30"/>
                <w:szCs w:val="30"/>
                <w:highlight w:val="none"/>
              </w:rPr>
              <w:t>做好管理养护工作</w:t>
            </w:r>
            <w:r>
              <w:rPr>
                <w:rFonts w:hint="default" w:ascii="Times New Roman" w:hAnsi="Times New Roman" w:eastAsia="仿宋_GB2312" w:cs="Times New Roman"/>
                <w:color w:val="auto"/>
                <w:sz w:val="30"/>
                <w:szCs w:val="30"/>
                <w:highlight w:val="none"/>
              </w:rPr>
              <w:t>，确保水土保持设施正常运行并发挥效益。</w:t>
            </w:r>
          </w:p>
        </w:tc>
      </w:tr>
    </w:tbl>
    <w:p w14:paraId="2C699CBD">
      <w:pPr>
        <w:outlineLvl w:val="0"/>
        <w:rPr>
          <w:rFonts w:hint="default" w:ascii="Times New Roman" w:hAnsi="Times New Roman" w:eastAsia="仿宋" w:cs="Times New Roman"/>
          <w:sz w:val="24"/>
          <w:szCs w:val="24"/>
        </w:rPr>
        <w:sectPr>
          <w:footerReference r:id="rId4" w:type="default"/>
          <w:pgSz w:w="11906" w:h="16838"/>
          <w:pgMar w:top="1440" w:right="1417" w:bottom="1440" w:left="1417" w:header="851" w:footer="992" w:gutter="0"/>
          <w:pgNumType w:fmt="decimal"/>
          <w:cols w:space="425" w:num="1"/>
          <w:docGrid w:type="lines" w:linePitch="312" w:charSpace="0"/>
        </w:sectPr>
      </w:pPr>
    </w:p>
    <w:p w14:paraId="17521E88">
      <w:pPr>
        <w:outlineLvl w:val="0"/>
        <w:rPr>
          <w:rFonts w:hint="default" w:ascii="Times New Roman" w:hAnsi="Times New Roman" w:eastAsia="仿宋" w:cs="Times New Roman"/>
          <w:sz w:val="24"/>
          <w:szCs w:val="24"/>
        </w:rPr>
      </w:pPr>
      <w:bookmarkStart w:id="0" w:name="_GoBack"/>
      <w:bookmarkEnd w:id="0"/>
    </w:p>
    <w:sectPr>
      <w:footerReference r:id="rId5"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2010600030101010101"/>
    <w:charset w:val="A1"/>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Times New Roman Regular">
    <w:panose1 w:val="02020503050405090304"/>
    <w:charset w:val="00"/>
    <w:family w:val="auto"/>
    <w:pitch w:val="default"/>
    <w:sig w:usb0="E0000AFF" w:usb1="00007843" w:usb2="00000001" w:usb3="00000000" w:csb0="400001BF" w:csb1="DFF70000"/>
  </w:font>
  <w:font w:name="等线">
    <w:altName w:val="汉仪中等线KW"/>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66A0F">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B05EC">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35B05EC">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5F155">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6598216"/>
                          </w:sdtPr>
                          <w:sdtContent>
                            <w:p w14:paraId="62593AEE">
                              <w:pPr>
                                <w:pStyle w:val="8"/>
                                <w:jc w:val="cente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32460FEC">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96598216"/>
                    </w:sdtPr>
                    <w:sdtContent>
                      <w:p w14:paraId="62593AEE">
                        <w:pPr>
                          <w:pStyle w:val="8"/>
                          <w:jc w:val="cente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32460FEC">
                    <w:pPr>
                      <w:pStyle w:val="12"/>
                    </w:pPr>
                  </w:p>
                </w:txbxContent>
              </v:textbox>
            </v:shape>
          </w:pict>
        </mc:Fallback>
      </mc:AlternateContent>
    </w:r>
  </w:p>
  <w:p w14:paraId="76F14996">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70C07">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83745382"/>
                          </w:sdtPr>
                          <w:sdtContent>
                            <w:p w14:paraId="50B6D1E5">
                              <w:pPr>
                                <w:pStyle w:val="8"/>
                                <w:jc w:val="cente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2F355850">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983745382"/>
                    </w:sdtPr>
                    <w:sdtContent>
                      <w:p w14:paraId="50B6D1E5">
                        <w:pPr>
                          <w:pStyle w:val="8"/>
                          <w:jc w:val="cente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2F355850">
                    <w:pPr>
                      <w:pStyle w:val="12"/>
                    </w:pPr>
                  </w:p>
                </w:txbxContent>
              </v:textbox>
            </v:shape>
          </w:pict>
        </mc:Fallback>
      </mc:AlternateContent>
    </w:r>
  </w:p>
  <w:p w14:paraId="536B733F">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53195A"/>
    <w:multiLevelType w:val="singleLevel"/>
    <w:tmpl w:val="1753195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kN2FlZjQyYWE1NGFjODg0ZDQxYTlmMTFhY2MzMGEifQ=="/>
    <w:docVar w:name="KSO_WPS_MARK_KEY" w:val="3737e7eb-57dc-46dc-97e3-621c0b339e85"/>
  </w:docVars>
  <w:rsids>
    <w:rsidRoot w:val="00172A27"/>
    <w:rsid w:val="00001635"/>
    <w:rsid w:val="00002F3E"/>
    <w:rsid w:val="000032F4"/>
    <w:rsid w:val="00023AE1"/>
    <w:rsid w:val="00045252"/>
    <w:rsid w:val="000754F2"/>
    <w:rsid w:val="0007551A"/>
    <w:rsid w:val="0007552D"/>
    <w:rsid w:val="00082658"/>
    <w:rsid w:val="0008383E"/>
    <w:rsid w:val="00093782"/>
    <w:rsid w:val="0009757A"/>
    <w:rsid w:val="000A1E11"/>
    <w:rsid w:val="000A72A9"/>
    <w:rsid w:val="000A7574"/>
    <w:rsid w:val="000B531C"/>
    <w:rsid w:val="000B5961"/>
    <w:rsid w:val="000C0EF2"/>
    <w:rsid w:val="000C2285"/>
    <w:rsid w:val="000C29CD"/>
    <w:rsid w:val="000D477F"/>
    <w:rsid w:val="000D50A1"/>
    <w:rsid w:val="000D5333"/>
    <w:rsid w:val="001033D8"/>
    <w:rsid w:val="001037B7"/>
    <w:rsid w:val="0010441A"/>
    <w:rsid w:val="00107115"/>
    <w:rsid w:val="00115BF4"/>
    <w:rsid w:val="00123B43"/>
    <w:rsid w:val="00126D1E"/>
    <w:rsid w:val="001328F8"/>
    <w:rsid w:val="001331E9"/>
    <w:rsid w:val="00135834"/>
    <w:rsid w:val="00137528"/>
    <w:rsid w:val="0014450C"/>
    <w:rsid w:val="00147D1F"/>
    <w:rsid w:val="0015092B"/>
    <w:rsid w:val="001547F9"/>
    <w:rsid w:val="00154C9C"/>
    <w:rsid w:val="00154D09"/>
    <w:rsid w:val="00156391"/>
    <w:rsid w:val="00160C6B"/>
    <w:rsid w:val="00163519"/>
    <w:rsid w:val="00175865"/>
    <w:rsid w:val="00180C99"/>
    <w:rsid w:val="00191B70"/>
    <w:rsid w:val="001A144D"/>
    <w:rsid w:val="001A17F8"/>
    <w:rsid w:val="001A2D66"/>
    <w:rsid w:val="001B52B1"/>
    <w:rsid w:val="001C778C"/>
    <w:rsid w:val="001D7BA6"/>
    <w:rsid w:val="001E7EDA"/>
    <w:rsid w:val="001F122C"/>
    <w:rsid w:val="001F4CA6"/>
    <w:rsid w:val="001F517A"/>
    <w:rsid w:val="00205156"/>
    <w:rsid w:val="00206612"/>
    <w:rsid w:val="002142B1"/>
    <w:rsid w:val="00214665"/>
    <w:rsid w:val="00215B6D"/>
    <w:rsid w:val="00216BB1"/>
    <w:rsid w:val="002220C2"/>
    <w:rsid w:val="002415AA"/>
    <w:rsid w:val="002443B8"/>
    <w:rsid w:val="0024491F"/>
    <w:rsid w:val="0024674C"/>
    <w:rsid w:val="00247436"/>
    <w:rsid w:val="00272A21"/>
    <w:rsid w:val="002856EB"/>
    <w:rsid w:val="002904B6"/>
    <w:rsid w:val="00293C3C"/>
    <w:rsid w:val="002A2CD9"/>
    <w:rsid w:val="002B355A"/>
    <w:rsid w:val="002D2706"/>
    <w:rsid w:val="002D3A9A"/>
    <w:rsid w:val="002D3C18"/>
    <w:rsid w:val="002F4E04"/>
    <w:rsid w:val="002F77F9"/>
    <w:rsid w:val="003037EB"/>
    <w:rsid w:val="003062B4"/>
    <w:rsid w:val="00310C94"/>
    <w:rsid w:val="003253BB"/>
    <w:rsid w:val="003269C3"/>
    <w:rsid w:val="003506BB"/>
    <w:rsid w:val="00377EF0"/>
    <w:rsid w:val="003933C0"/>
    <w:rsid w:val="003944E9"/>
    <w:rsid w:val="003B405E"/>
    <w:rsid w:val="003C52D7"/>
    <w:rsid w:val="003F0ECB"/>
    <w:rsid w:val="00445A52"/>
    <w:rsid w:val="004503A8"/>
    <w:rsid w:val="004541A6"/>
    <w:rsid w:val="0046142D"/>
    <w:rsid w:val="00462333"/>
    <w:rsid w:val="00465DAA"/>
    <w:rsid w:val="004736B6"/>
    <w:rsid w:val="00480FF7"/>
    <w:rsid w:val="00481B7A"/>
    <w:rsid w:val="00490BB5"/>
    <w:rsid w:val="004A4E0A"/>
    <w:rsid w:val="004A7EA5"/>
    <w:rsid w:val="004B1C6F"/>
    <w:rsid w:val="004B64D9"/>
    <w:rsid w:val="004C6CBC"/>
    <w:rsid w:val="004D5CE5"/>
    <w:rsid w:val="004E3476"/>
    <w:rsid w:val="004E44DD"/>
    <w:rsid w:val="004E49FC"/>
    <w:rsid w:val="004E6602"/>
    <w:rsid w:val="004F0ED0"/>
    <w:rsid w:val="004F5A17"/>
    <w:rsid w:val="00512AFD"/>
    <w:rsid w:val="00515848"/>
    <w:rsid w:val="0051700B"/>
    <w:rsid w:val="0052322B"/>
    <w:rsid w:val="00526350"/>
    <w:rsid w:val="00530DC3"/>
    <w:rsid w:val="00542226"/>
    <w:rsid w:val="005526DD"/>
    <w:rsid w:val="00556EE3"/>
    <w:rsid w:val="0056370E"/>
    <w:rsid w:val="005708C9"/>
    <w:rsid w:val="005709DF"/>
    <w:rsid w:val="00583842"/>
    <w:rsid w:val="005841B6"/>
    <w:rsid w:val="00590CF7"/>
    <w:rsid w:val="005A063E"/>
    <w:rsid w:val="005A33A0"/>
    <w:rsid w:val="005A3A92"/>
    <w:rsid w:val="005A7358"/>
    <w:rsid w:val="005B0950"/>
    <w:rsid w:val="005B1FE3"/>
    <w:rsid w:val="005C0584"/>
    <w:rsid w:val="005F6030"/>
    <w:rsid w:val="0060686A"/>
    <w:rsid w:val="006136AF"/>
    <w:rsid w:val="006141A1"/>
    <w:rsid w:val="006177C4"/>
    <w:rsid w:val="00622C35"/>
    <w:rsid w:val="00627AB4"/>
    <w:rsid w:val="00640D60"/>
    <w:rsid w:val="00642CA9"/>
    <w:rsid w:val="00645348"/>
    <w:rsid w:val="006456E7"/>
    <w:rsid w:val="00676750"/>
    <w:rsid w:val="00696ED3"/>
    <w:rsid w:val="006A1541"/>
    <w:rsid w:val="006A3EFF"/>
    <w:rsid w:val="006B0364"/>
    <w:rsid w:val="006B24B5"/>
    <w:rsid w:val="006B60C4"/>
    <w:rsid w:val="006B7CF2"/>
    <w:rsid w:val="006E24E1"/>
    <w:rsid w:val="006F63D4"/>
    <w:rsid w:val="006F78CB"/>
    <w:rsid w:val="007120D4"/>
    <w:rsid w:val="00712BD3"/>
    <w:rsid w:val="00721B32"/>
    <w:rsid w:val="00742EC9"/>
    <w:rsid w:val="00743159"/>
    <w:rsid w:val="007451A5"/>
    <w:rsid w:val="007455AF"/>
    <w:rsid w:val="0074581D"/>
    <w:rsid w:val="00755E87"/>
    <w:rsid w:val="00761FA5"/>
    <w:rsid w:val="007678F9"/>
    <w:rsid w:val="0077245A"/>
    <w:rsid w:val="00774435"/>
    <w:rsid w:val="00777C57"/>
    <w:rsid w:val="0078369A"/>
    <w:rsid w:val="00784C91"/>
    <w:rsid w:val="007867BF"/>
    <w:rsid w:val="00792FB1"/>
    <w:rsid w:val="007B52D9"/>
    <w:rsid w:val="007C54DD"/>
    <w:rsid w:val="007D123C"/>
    <w:rsid w:val="007D37E8"/>
    <w:rsid w:val="007D4DAC"/>
    <w:rsid w:val="007D6030"/>
    <w:rsid w:val="007E4C6D"/>
    <w:rsid w:val="007F3B25"/>
    <w:rsid w:val="008063E5"/>
    <w:rsid w:val="00835E2A"/>
    <w:rsid w:val="008423C7"/>
    <w:rsid w:val="008446BC"/>
    <w:rsid w:val="00850234"/>
    <w:rsid w:val="008524C2"/>
    <w:rsid w:val="0086378C"/>
    <w:rsid w:val="008726F6"/>
    <w:rsid w:val="00875ADE"/>
    <w:rsid w:val="00882EF7"/>
    <w:rsid w:val="008904A3"/>
    <w:rsid w:val="00894D46"/>
    <w:rsid w:val="008B4AD3"/>
    <w:rsid w:val="008B5B80"/>
    <w:rsid w:val="009061F8"/>
    <w:rsid w:val="00920851"/>
    <w:rsid w:val="00921AA9"/>
    <w:rsid w:val="009229D9"/>
    <w:rsid w:val="00924647"/>
    <w:rsid w:val="009259D9"/>
    <w:rsid w:val="0093058E"/>
    <w:rsid w:val="0094168A"/>
    <w:rsid w:val="00942140"/>
    <w:rsid w:val="00942D44"/>
    <w:rsid w:val="009457BE"/>
    <w:rsid w:val="00953E7B"/>
    <w:rsid w:val="00954B93"/>
    <w:rsid w:val="00960422"/>
    <w:rsid w:val="00977896"/>
    <w:rsid w:val="00977DA1"/>
    <w:rsid w:val="00986992"/>
    <w:rsid w:val="00992AD9"/>
    <w:rsid w:val="009B296F"/>
    <w:rsid w:val="009B75D0"/>
    <w:rsid w:val="009D124B"/>
    <w:rsid w:val="009E1324"/>
    <w:rsid w:val="00A01381"/>
    <w:rsid w:val="00A0241C"/>
    <w:rsid w:val="00A303D1"/>
    <w:rsid w:val="00A32328"/>
    <w:rsid w:val="00A355CE"/>
    <w:rsid w:val="00A57399"/>
    <w:rsid w:val="00A64D6C"/>
    <w:rsid w:val="00A86257"/>
    <w:rsid w:val="00A87E9B"/>
    <w:rsid w:val="00A95718"/>
    <w:rsid w:val="00AA3914"/>
    <w:rsid w:val="00AB710B"/>
    <w:rsid w:val="00AB7B83"/>
    <w:rsid w:val="00AC2725"/>
    <w:rsid w:val="00AC51B2"/>
    <w:rsid w:val="00AC53AF"/>
    <w:rsid w:val="00AD6C2B"/>
    <w:rsid w:val="00AE469E"/>
    <w:rsid w:val="00AF0F60"/>
    <w:rsid w:val="00AF1409"/>
    <w:rsid w:val="00B0531F"/>
    <w:rsid w:val="00B05A8C"/>
    <w:rsid w:val="00B07F3D"/>
    <w:rsid w:val="00B21393"/>
    <w:rsid w:val="00B4013B"/>
    <w:rsid w:val="00B422E6"/>
    <w:rsid w:val="00B43236"/>
    <w:rsid w:val="00B45C50"/>
    <w:rsid w:val="00B519A6"/>
    <w:rsid w:val="00B606FF"/>
    <w:rsid w:val="00B6481A"/>
    <w:rsid w:val="00B6610A"/>
    <w:rsid w:val="00B6731B"/>
    <w:rsid w:val="00B72A88"/>
    <w:rsid w:val="00B731B2"/>
    <w:rsid w:val="00B81D39"/>
    <w:rsid w:val="00BA0DA5"/>
    <w:rsid w:val="00BA572C"/>
    <w:rsid w:val="00BC1910"/>
    <w:rsid w:val="00BC3497"/>
    <w:rsid w:val="00BD2C25"/>
    <w:rsid w:val="00BD5E0E"/>
    <w:rsid w:val="00BD5FEB"/>
    <w:rsid w:val="00BD652A"/>
    <w:rsid w:val="00BF09F1"/>
    <w:rsid w:val="00BF4152"/>
    <w:rsid w:val="00BF6E1D"/>
    <w:rsid w:val="00BF747C"/>
    <w:rsid w:val="00C04720"/>
    <w:rsid w:val="00C048A3"/>
    <w:rsid w:val="00C05D6E"/>
    <w:rsid w:val="00C139A5"/>
    <w:rsid w:val="00C279F4"/>
    <w:rsid w:val="00C30AD0"/>
    <w:rsid w:val="00C40804"/>
    <w:rsid w:val="00C427E7"/>
    <w:rsid w:val="00C42DFE"/>
    <w:rsid w:val="00C63440"/>
    <w:rsid w:val="00C804C2"/>
    <w:rsid w:val="00C858BC"/>
    <w:rsid w:val="00C963AA"/>
    <w:rsid w:val="00CC4E6F"/>
    <w:rsid w:val="00CD3DEE"/>
    <w:rsid w:val="00CF1C8B"/>
    <w:rsid w:val="00CF584E"/>
    <w:rsid w:val="00D00396"/>
    <w:rsid w:val="00D02E04"/>
    <w:rsid w:val="00D07497"/>
    <w:rsid w:val="00D20FDC"/>
    <w:rsid w:val="00D21AC2"/>
    <w:rsid w:val="00D466D5"/>
    <w:rsid w:val="00D46C91"/>
    <w:rsid w:val="00D6127C"/>
    <w:rsid w:val="00D67B0E"/>
    <w:rsid w:val="00D71109"/>
    <w:rsid w:val="00D73920"/>
    <w:rsid w:val="00D75953"/>
    <w:rsid w:val="00D83F20"/>
    <w:rsid w:val="00D85029"/>
    <w:rsid w:val="00DA0512"/>
    <w:rsid w:val="00DB07C3"/>
    <w:rsid w:val="00DB4856"/>
    <w:rsid w:val="00DB5B10"/>
    <w:rsid w:val="00DC2FCE"/>
    <w:rsid w:val="00DC34FB"/>
    <w:rsid w:val="00DC6416"/>
    <w:rsid w:val="00DD5EF8"/>
    <w:rsid w:val="00DD7A57"/>
    <w:rsid w:val="00DE25F4"/>
    <w:rsid w:val="00DE7761"/>
    <w:rsid w:val="00DF0B24"/>
    <w:rsid w:val="00E17210"/>
    <w:rsid w:val="00E22CD0"/>
    <w:rsid w:val="00E25AB2"/>
    <w:rsid w:val="00E62326"/>
    <w:rsid w:val="00E65AB8"/>
    <w:rsid w:val="00E73501"/>
    <w:rsid w:val="00E75926"/>
    <w:rsid w:val="00E83080"/>
    <w:rsid w:val="00E84D46"/>
    <w:rsid w:val="00E9245A"/>
    <w:rsid w:val="00E929CC"/>
    <w:rsid w:val="00E9447E"/>
    <w:rsid w:val="00EA241E"/>
    <w:rsid w:val="00EA46E2"/>
    <w:rsid w:val="00EA4891"/>
    <w:rsid w:val="00EA641F"/>
    <w:rsid w:val="00ED72D7"/>
    <w:rsid w:val="00EE1522"/>
    <w:rsid w:val="00EE3078"/>
    <w:rsid w:val="00F01203"/>
    <w:rsid w:val="00F04533"/>
    <w:rsid w:val="00F162BC"/>
    <w:rsid w:val="00F35068"/>
    <w:rsid w:val="00F46EFB"/>
    <w:rsid w:val="00F47A07"/>
    <w:rsid w:val="00F55C30"/>
    <w:rsid w:val="00F702B8"/>
    <w:rsid w:val="00F71CD0"/>
    <w:rsid w:val="00F82CC5"/>
    <w:rsid w:val="00F845EC"/>
    <w:rsid w:val="00F9049B"/>
    <w:rsid w:val="00F95251"/>
    <w:rsid w:val="00F954FC"/>
    <w:rsid w:val="00FA407C"/>
    <w:rsid w:val="00FA6536"/>
    <w:rsid w:val="00FB37A1"/>
    <w:rsid w:val="00FB61AA"/>
    <w:rsid w:val="00FC0461"/>
    <w:rsid w:val="00FC52F8"/>
    <w:rsid w:val="00FC5A87"/>
    <w:rsid w:val="00FD1F12"/>
    <w:rsid w:val="00FD30B7"/>
    <w:rsid w:val="00FD4C1D"/>
    <w:rsid w:val="00FE0358"/>
    <w:rsid w:val="00FF001A"/>
    <w:rsid w:val="00FF5F00"/>
    <w:rsid w:val="027A5CF8"/>
    <w:rsid w:val="02D82119"/>
    <w:rsid w:val="08C53C38"/>
    <w:rsid w:val="0BF4404E"/>
    <w:rsid w:val="0D7961D2"/>
    <w:rsid w:val="0EE00E60"/>
    <w:rsid w:val="10143155"/>
    <w:rsid w:val="10A060C1"/>
    <w:rsid w:val="116114EB"/>
    <w:rsid w:val="13AD5405"/>
    <w:rsid w:val="179D5EB3"/>
    <w:rsid w:val="193453C6"/>
    <w:rsid w:val="19E828D4"/>
    <w:rsid w:val="1AC43684"/>
    <w:rsid w:val="1B9445E0"/>
    <w:rsid w:val="1BDA4B66"/>
    <w:rsid w:val="1C300A11"/>
    <w:rsid w:val="1E3414A4"/>
    <w:rsid w:val="1EED33A8"/>
    <w:rsid w:val="1FC753B3"/>
    <w:rsid w:val="20D32D10"/>
    <w:rsid w:val="22BF64F8"/>
    <w:rsid w:val="27CB141C"/>
    <w:rsid w:val="28687287"/>
    <w:rsid w:val="2C855895"/>
    <w:rsid w:val="2F7E6A0B"/>
    <w:rsid w:val="2F8E2644"/>
    <w:rsid w:val="301147EB"/>
    <w:rsid w:val="320C3B75"/>
    <w:rsid w:val="334821CE"/>
    <w:rsid w:val="33576819"/>
    <w:rsid w:val="344E03D3"/>
    <w:rsid w:val="35D75AA4"/>
    <w:rsid w:val="37AA78BB"/>
    <w:rsid w:val="38DD76BC"/>
    <w:rsid w:val="39510AC6"/>
    <w:rsid w:val="3981182F"/>
    <w:rsid w:val="3CE92A54"/>
    <w:rsid w:val="3D4623FD"/>
    <w:rsid w:val="3E497EC6"/>
    <w:rsid w:val="3F353FF0"/>
    <w:rsid w:val="3F6B747B"/>
    <w:rsid w:val="3FC544D7"/>
    <w:rsid w:val="3FCF05DD"/>
    <w:rsid w:val="413813E1"/>
    <w:rsid w:val="449C59AD"/>
    <w:rsid w:val="44A03A66"/>
    <w:rsid w:val="46886AEB"/>
    <w:rsid w:val="483247E7"/>
    <w:rsid w:val="4A1E75E5"/>
    <w:rsid w:val="4AEE5D6C"/>
    <w:rsid w:val="4BD551C7"/>
    <w:rsid w:val="4D22134D"/>
    <w:rsid w:val="55E960EE"/>
    <w:rsid w:val="562320E0"/>
    <w:rsid w:val="576E0518"/>
    <w:rsid w:val="58E74565"/>
    <w:rsid w:val="59395F05"/>
    <w:rsid w:val="5AFC9A96"/>
    <w:rsid w:val="5BE13F3E"/>
    <w:rsid w:val="5BF27EAE"/>
    <w:rsid w:val="5C43469A"/>
    <w:rsid w:val="5DD70DD9"/>
    <w:rsid w:val="5DFC8A53"/>
    <w:rsid w:val="5FC7FE9D"/>
    <w:rsid w:val="604F59A7"/>
    <w:rsid w:val="6314072C"/>
    <w:rsid w:val="663D530E"/>
    <w:rsid w:val="66996E61"/>
    <w:rsid w:val="67FFD26D"/>
    <w:rsid w:val="68C3052F"/>
    <w:rsid w:val="69FE788C"/>
    <w:rsid w:val="6A624DCC"/>
    <w:rsid w:val="6B1A2EA1"/>
    <w:rsid w:val="738A29C9"/>
    <w:rsid w:val="7481619E"/>
    <w:rsid w:val="754A19F1"/>
    <w:rsid w:val="7587012F"/>
    <w:rsid w:val="78A219EC"/>
    <w:rsid w:val="78B03CEE"/>
    <w:rsid w:val="79D96A19"/>
    <w:rsid w:val="7BE879D3"/>
    <w:rsid w:val="7C9A06F8"/>
    <w:rsid w:val="7DE551F8"/>
    <w:rsid w:val="7DFC1BF7"/>
    <w:rsid w:val="7F30646B"/>
    <w:rsid w:val="7FFBD316"/>
    <w:rsid w:val="B7AB2F56"/>
    <w:rsid w:val="B7FFD92F"/>
    <w:rsid w:val="BFCF0A5A"/>
    <w:rsid w:val="BFF35204"/>
    <w:rsid w:val="DA9BDB9B"/>
    <w:rsid w:val="E8FE3D13"/>
    <w:rsid w:val="EDEF3207"/>
    <w:rsid w:val="EE59CEB3"/>
    <w:rsid w:val="EF58B3DE"/>
    <w:rsid w:val="F97FBC3E"/>
    <w:rsid w:val="FF8F5867"/>
    <w:rsid w:val="FFA29DC1"/>
    <w:rsid w:val="FFEED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7"/>
    <w:qFormat/>
    <w:uiPriority w:val="0"/>
    <w:pPr>
      <w:keepNext/>
      <w:keepLines/>
      <w:snapToGrid w:val="0"/>
      <w:spacing w:line="360" w:lineRule="auto"/>
      <w:ind w:firstLine="640" w:firstLineChars="200"/>
      <w:jc w:val="left"/>
      <w:outlineLvl w:val="0"/>
    </w:pPr>
    <w:rPr>
      <w:rFonts w:ascii="黑体" w:hAnsi="黑体" w:eastAsia="黑体" w:cs="Times New Roman"/>
      <w:bCs/>
      <w:kern w:val="44"/>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customStyle="1" w:styleId="3">
    <w:name w:val="_Style 2"/>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5">
    <w:name w:val="Document Map"/>
    <w:basedOn w:val="1"/>
    <w:link w:val="22"/>
    <w:semiHidden/>
    <w:unhideWhenUsed/>
    <w:qFormat/>
    <w:uiPriority w:val="99"/>
    <w:rPr>
      <w:rFonts w:ascii="宋体" w:eastAsia="宋体"/>
      <w:sz w:val="18"/>
      <w:szCs w:val="18"/>
    </w:rPr>
  </w:style>
  <w:style w:type="paragraph" w:styleId="6">
    <w:name w:val="Body Text Indent"/>
    <w:basedOn w:val="1"/>
    <w:link w:val="18"/>
    <w:qFormat/>
    <w:uiPriority w:val="0"/>
    <w:pPr>
      <w:widowControl/>
      <w:ind w:firstLine="675"/>
    </w:pPr>
    <w:rPr>
      <w:rFonts w:eastAsia="宋体"/>
      <w:sz w:val="28"/>
      <w:szCs w:val="28"/>
    </w:rPr>
  </w:style>
  <w:style w:type="paragraph" w:styleId="7">
    <w:name w:val="Balloon Text"/>
    <w:basedOn w:val="1"/>
    <w:link w:val="20"/>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link w:val="23"/>
    <w:qFormat/>
    <w:uiPriority w:val="0"/>
    <w:pPr>
      <w:spacing w:after="120"/>
      <w:ind w:left="420" w:leftChars="200"/>
    </w:pPr>
    <w:rPr>
      <w:rFonts w:ascii="Times New Roman" w:hAnsi="Times New Roman" w:eastAsia="宋体" w:cs="Times New Roman"/>
      <w:sz w:val="16"/>
      <w:szCs w:val="16"/>
    </w:rPr>
  </w:style>
  <w:style w:type="paragraph" w:styleId="11">
    <w:name w:val="Body Text First Indent"/>
    <w:basedOn w:val="1"/>
    <w:next w:val="1"/>
    <w:qFormat/>
    <w:uiPriority w:val="0"/>
    <w:pPr>
      <w:ind w:firstLine="420" w:firstLineChars="100"/>
    </w:pPr>
  </w:style>
  <w:style w:type="paragraph" w:styleId="12">
    <w:name w:val="Body Text First Indent 2"/>
    <w:basedOn w:val="6"/>
    <w:next w:val="11"/>
    <w:qFormat/>
    <w:uiPriority w:val="0"/>
    <w:pPr>
      <w:ind w:firstLine="420" w:firstLineChars="200"/>
    </w:pPr>
    <w:rPr>
      <w:szCs w:val="2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customStyle="1" w:styleId="17">
    <w:name w:val="标题 1 字符"/>
    <w:basedOn w:val="15"/>
    <w:link w:val="4"/>
    <w:qFormat/>
    <w:uiPriority w:val="0"/>
    <w:rPr>
      <w:rFonts w:ascii="黑体" w:hAnsi="黑体" w:eastAsia="黑体" w:cs="Times New Roman"/>
      <w:bCs/>
      <w:kern w:val="44"/>
      <w:sz w:val="32"/>
      <w:szCs w:val="32"/>
    </w:rPr>
  </w:style>
  <w:style w:type="character" w:customStyle="1" w:styleId="18">
    <w:name w:val="正文文本缩进 字符"/>
    <w:basedOn w:val="15"/>
    <w:link w:val="6"/>
    <w:qFormat/>
    <w:uiPriority w:val="0"/>
    <w:rPr>
      <w:rFonts w:eastAsia="宋体"/>
      <w:sz w:val="28"/>
      <w:szCs w:val="28"/>
    </w:rPr>
  </w:style>
  <w:style w:type="character" w:customStyle="1" w:styleId="19">
    <w:name w:val="页脚 字符"/>
    <w:basedOn w:val="15"/>
    <w:link w:val="8"/>
    <w:qFormat/>
    <w:uiPriority w:val="99"/>
    <w:rPr>
      <w:sz w:val="18"/>
      <w:szCs w:val="18"/>
    </w:rPr>
  </w:style>
  <w:style w:type="character" w:customStyle="1" w:styleId="20">
    <w:name w:val="批注框文本 字符"/>
    <w:basedOn w:val="15"/>
    <w:link w:val="7"/>
    <w:semiHidden/>
    <w:qFormat/>
    <w:uiPriority w:val="99"/>
    <w:rPr>
      <w:sz w:val="18"/>
      <w:szCs w:val="18"/>
    </w:rPr>
  </w:style>
  <w:style w:type="character" w:customStyle="1" w:styleId="21">
    <w:name w:val="页眉 字符"/>
    <w:basedOn w:val="15"/>
    <w:link w:val="9"/>
    <w:qFormat/>
    <w:uiPriority w:val="99"/>
    <w:rPr>
      <w:sz w:val="18"/>
      <w:szCs w:val="18"/>
    </w:rPr>
  </w:style>
  <w:style w:type="character" w:customStyle="1" w:styleId="22">
    <w:name w:val="文档结构图 字符"/>
    <w:basedOn w:val="15"/>
    <w:link w:val="5"/>
    <w:semiHidden/>
    <w:qFormat/>
    <w:uiPriority w:val="99"/>
    <w:rPr>
      <w:rFonts w:ascii="宋体" w:eastAsia="宋体"/>
      <w:kern w:val="2"/>
      <w:sz w:val="18"/>
      <w:szCs w:val="18"/>
    </w:rPr>
  </w:style>
  <w:style w:type="character" w:customStyle="1" w:styleId="23">
    <w:name w:val="正文文本缩进 3 字符"/>
    <w:basedOn w:val="15"/>
    <w:link w:val="10"/>
    <w:qFormat/>
    <w:uiPriority w:val="0"/>
    <w:rPr>
      <w:rFonts w:ascii="Times New Roman" w:hAnsi="Times New Roman" w:eastAsia="宋体" w:cs="Times New Roman"/>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JDC</Company>
  <Pages>8</Pages>
  <Words>2461</Words>
  <Characters>2655</Characters>
  <Lines>18</Lines>
  <Paragraphs>5</Paragraphs>
  <TotalTime>0</TotalTime>
  <ScaleCrop>false</ScaleCrop>
  <LinksUpToDate>false</LinksUpToDate>
  <CharactersWithSpaces>2667</CharactersWithSpaces>
  <Application>WPS Office_12.1.24709.24709_F1E327BC-269C-435d-A152-05C5408002CA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2018-02-01T02:24:00Z</dcterms:created>
  <dc:creator>LIUYu</dc:creator>
  <cp:lastModifiedBy>False° </cp:lastModifiedBy>
  <cp:lastPrinted>2019-11-19T07:51:00Z</cp:lastPrinted>
  <dcterms:modified xsi:type="dcterms:W3CDTF">2026-02-06T13:55:49Z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2052-12.1.24709.24709</vt:lpwstr>
  </property>
  <property fmtid="{D5CDD505-2E9C-101B-9397-08002B2CF9AE}" pid="3" name="ICV">
    <vt:lpwstr>04783C34ED9D651074458569D24B7926_43</vt:lpwstr>
  </property>
</Properties>
</file>